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id w:val="-1088771599"/>
        <w:docPartObj>
          <w:docPartGallery w:val="Cover Pages"/>
          <w:docPartUnique/>
        </w:docPartObj>
      </w:sdtPr>
      <w:sdtEndPr>
        <w:rPr>
          <w:bCs/>
          <w:noProof/>
          <w:lang w:eastAsia="lv-LV"/>
        </w:rPr>
      </w:sdtEndPr>
      <w:sdtContent>
        <w:p w14:paraId="3042C71F" w14:textId="7E307AB8" w:rsidR="00404C73" w:rsidRDefault="00404C73">
          <w:r>
            <w:rPr>
              <w:noProof/>
              <w:lang w:eastAsia="lv-LV"/>
            </w:rPr>
            <mc:AlternateContent>
              <mc:Choice Requires="wpg">
                <w:drawing>
                  <wp:anchor distT="0" distB="0" distL="114300" distR="114300" simplePos="0" relativeHeight="251658242" behindDoc="0" locked="0" layoutInCell="1" allowOverlap="1" wp14:anchorId="0CDDC861" wp14:editId="335CFC18">
                    <wp:simplePos x="0" y="0"/>
                    <wp:positionH relativeFrom="page">
                      <wp:align>center</wp:align>
                    </wp:positionH>
                    <mc:AlternateContent>
                      <mc:Choice Requires="wp14">
                        <wp:positionV relativeFrom="page">
                          <wp14:pctPosVOffset>2300</wp14:pctPosVOffset>
                        </wp:positionV>
                      </mc:Choice>
                      <mc:Fallback>
                        <wp:positionV relativeFrom="page">
                          <wp:posOffset>245745</wp:posOffset>
                        </wp:positionV>
                      </mc:Fallback>
                    </mc:AlternateContent>
                    <wp:extent cx="7315200" cy="1215391"/>
                    <wp:effectExtent l="0" t="0" r="1270" b="1905"/>
                    <wp:wrapNone/>
                    <wp:docPr id="149" name="Group 149"/>
                    <wp:cNvGraphicFramePr/>
                    <a:graphic xmlns:a="http://schemas.openxmlformats.org/drawingml/2006/main">
                      <a:graphicData uri="http://schemas.microsoft.com/office/word/2010/wordprocessingGroup">
                        <wpg:wgp>
                          <wpg:cNvGrpSpPr/>
                          <wpg:grpSpPr>
                            <a:xfrm>
                              <a:off x="0" y="0"/>
                              <a:ext cx="7315200" cy="1215391"/>
                              <a:chOff x="0" y="-1"/>
                              <a:chExt cx="7315200" cy="1216153"/>
                            </a:xfrm>
                          </wpg:grpSpPr>
                          <wps:wsp>
                            <wps:cNvPr id="150" name="Rectangle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 name="Rectangle 151"/>
                            <wps:cNvSpPr/>
                            <wps:spPr>
                              <a:xfrm>
                                <a:off x="0" y="0"/>
                                <a:ext cx="7315200" cy="1216152"/>
                              </a:xfrm>
                              <a:prstGeom prst="rect">
                                <a:avLst/>
                              </a:prstGeom>
                              <a:blipFill>
                                <a:blip r:embed="rId13"/>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94100</wp14:pctWidth>
                    </wp14:sizeRelH>
                    <wp14:sizeRelV relativeFrom="page">
                      <wp14:pctHeight>12100</wp14:pctHeight>
                    </wp14:sizeRelV>
                  </wp:anchor>
                </w:drawing>
              </mc:Choice>
              <mc:Fallback>
                <w:pict>
                  <v:group w14:anchorId="203D2FF6" id="Group 149" o:spid="_x0000_s1026" style="position:absolute;margin-left:0;margin-top:0;width:8in;height:95.7pt;z-index:251657216;mso-width-percent:941;mso-height-percent:121;mso-top-percent:23;mso-position-horizontal:center;mso-position-horizontal-relative:page;mso-position-vertical-relative:page;mso-width-percent:941;mso-height-percent:121;mso-top-percent:23" coordorigin="" coordsize="73152,1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">
                    <v:shape id="Rectangle 51" o:spid="_x0000_s1027" style="position:absolute;width:73152;height:11303;visibility:visible;mso-wrap-style:square;v-text-anchor:middle" coordsize="7312660,1129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" path="m,l7312660,r,1129665l3619500,733425,,1091565,,xe" fillcolor="#5b9bd5 [3204]" stroked="f" strokeweight="1pt">
                      <v:stroke joinstyle="miter"/>
                      <v:path arrowok="t" o:connecttype="custom" o:connectlocs="0,0;7315200,0;7315200,1130373;3620757,733885;0,1092249;0,0" o:connectangles="0,0,0,0,0,0"/>
                    </v:shape>
                    <v:rect id="Rectangle 151" o:spid="_x0000_s1028" style="position:absolute;width:73152;height:121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" stroked="f" strokeweight="1pt">
                      <v:fill r:id="rId14" o:title="" recolor="t" rotate="t" type="frame"/>
                    </v:rect>
                    <w10:wrap anchorx="page" anchory="page"/>
                  </v:group>
                </w:pict>
              </mc:Fallback>
            </mc:AlternateContent>
          </w:r>
          <w:r>
            <w:rPr>
              <w:noProof/>
              <w:lang w:eastAsia="lv-LV"/>
            </w:rPr>
            <mc:AlternateContent>
              <mc:Choice Requires="wps">
                <w:drawing>
                  <wp:anchor distT="0" distB="0" distL="114300" distR="114300" simplePos="0" relativeHeight="251658241" behindDoc="0" locked="0" layoutInCell="1" allowOverlap="1" wp14:anchorId="113FE9CE" wp14:editId="5BF94971">
                    <wp:simplePos x="0" y="0"/>
                    <wp:positionH relativeFrom="page">
                      <wp:align>center</wp:align>
                    </wp:positionH>
                    <mc:AlternateContent>
                      <mc:Choice Requires="wp14">
                        <wp:positionV relativeFrom="page">
                          <wp14:pctPosVOffset>81800</wp14:pctPosVOffset>
                        </wp:positionV>
                      </mc:Choice>
                      <mc:Fallback>
                        <wp:positionV relativeFrom="page">
                          <wp:posOffset>8745855</wp:posOffset>
                        </wp:positionV>
                      </mc:Fallback>
                    </mc:AlternateContent>
                    <wp:extent cx="7315200" cy="914400"/>
                    <wp:effectExtent l="0" t="0" r="0" b="8255"/>
                    <wp:wrapSquare wrapText="bothSides"/>
                    <wp:docPr id="152" name="Text Box 152"/>
                    <wp:cNvGraphicFramePr/>
                    <a:graphic xmlns:a="http://schemas.openxmlformats.org/drawingml/2006/main">
                      <a:graphicData uri="http://schemas.microsoft.com/office/word/2010/wordprocessingShape">
                        <wps:wsp>
                          <wps:cNvSpPr txBox="1"/>
                          <wps:spPr>
                            <a:xfrm>
                              <a:off x="0" y="0"/>
                              <a:ext cx="7315200" cy="914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543A263" w14:textId="3B87FE51" w:rsidR="006E36FB" w:rsidRDefault="006E36FB">
                                <w:pPr>
                                  <w:pStyle w:val="NoSpacing"/>
                                  <w:jc w:val="right"/>
                                  <w:rPr>
                                    <w:color w:val="595959" w:themeColor="text1" w:themeTint="A6"/>
                                    <w:sz w:val="28"/>
                                    <w:szCs w:val="28"/>
                                  </w:rPr>
                                </w:pPr>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9200</wp14:pctHeight>
                    </wp14:sizeRelV>
                  </wp:anchor>
                </w:drawing>
              </mc:Choice>
              <mc:Fallback>
                <w:pict>
                  <v:shapetype w14:anchorId="113FE9CE" id="_x0000_t202" coordsize="21600,21600" o:spt="202" path="m,l,21600r21600,l21600,xe">
                    <v:stroke joinstyle="miter"/>
                    <v:path gradientshapeok="t" o:connecttype="rect"/>
                  </v:shapetype>
                  <v:shape id="Text Box 152" o:spid="_x0000_s1026" type="#_x0000_t202" style="position:absolute;left:0;text-align:left;margin-left:0;margin-top:0;width:8in;height:1in;z-index:251658241;visibility:visible;mso-wrap-style:square;mso-width-percent:941;mso-height-percent:92;mso-top-percent:818;mso-wrap-distance-left:9pt;mso-wrap-distance-top:0;mso-wrap-distance-right:9pt;mso-wrap-distance-bottom:0;mso-position-horizontal:center;mso-position-horizontal-relative:page;mso-position-vertical-relative:page;mso-width-percent:941;mso-height-percent:92;mso-top-percent:818;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" filled="f" stroked="f" strokeweight=".5pt">
                    <v:textbox inset="126pt,0,54pt,0">
                      <w:txbxContent>
                        <w:p w14:paraId="1543A263" w14:textId="3B87FE51" w:rsidR="006E36FB" w:rsidRDefault="006E36FB">
                          <w:pPr>
                            <w:pStyle w:val="NoSpacing"/>
                            <w:jc w:val="right"/>
                            <w:rPr>
                              <w:color w:val="595959" w:themeColor="text1" w:themeTint="A6"/>
                              <w:sz w:val="28"/>
                              <w:szCs w:val="28"/>
                            </w:rPr>
                          </w:pPr>
                        </w:p>
                      </w:txbxContent>
                    </v:textbox>
                    <w10:wrap type="square" anchorx="page" anchory="page"/>
                  </v:shape>
                </w:pict>
              </mc:Fallback>
            </mc:AlternateContent>
          </w:r>
          <w:r>
            <w:rPr>
              <w:noProof/>
              <w:lang w:eastAsia="lv-LV"/>
            </w:rPr>
            <mc:AlternateContent>
              <mc:Choice Requires="wps">
                <w:drawing>
                  <wp:anchor distT="0" distB="0" distL="114300" distR="114300" simplePos="0" relativeHeight="251658240" behindDoc="0" locked="0" layoutInCell="1" allowOverlap="1" wp14:anchorId="4A55A13B" wp14:editId="24E0E858">
                    <wp:simplePos x="0" y="0"/>
                    <wp:positionH relativeFrom="page">
                      <wp:align>center</wp:align>
                    </wp:positionH>
                    <mc:AlternateContent>
                      <mc:Choice Requires="wp14">
                        <wp:positionV relativeFrom="page">
                          <wp14:pctPosVOffset>30000</wp14:pctPosVOffset>
                        </wp:positionV>
                      </mc:Choice>
                      <mc:Fallback>
                        <wp:positionV relativeFrom="page">
                          <wp:posOffset>3207385</wp:posOffset>
                        </wp:positionV>
                      </mc:Fallback>
                    </mc:AlternateContent>
                    <wp:extent cx="7315200" cy="3638550"/>
                    <wp:effectExtent l="0" t="0" r="0" b="6350"/>
                    <wp:wrapSquare wrapText="bothSides"/>
                    <wp:docPr id="154" name="Text Box 154"/>
                    <wp:cNvGraphicFramePr/>
                    <a:graphic xmlns:a="http://schemas.openxmlformats.org/drawingml/2006/main">
                      <a:graphicData uri="http://schemas.microsoft.com/office/word/2010/wordprocessingShape">
                        <wps:wsp>
                          <wps:cNvSpPr txBox="1"/>
                          <wps:spPr>
                            <a:xfrm>
                              <a:off x="0" y="0"/>
                              <a:ext cx="7315200" cy="36385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552BF6E" w14:textId="69C13856" w:rsidR="006E36FB" w:rsidRDefault="00000000">
                                <w:pPr>
                                  <w:jc w:val="right"/>
                                  <w:rPr>
                                    <w:color w:val="5B9BD5" w:themeColor="accent1"/>
                                    <w:sz w:val="64"/>
                                    <w:szCs w:val="64"/>
                                  </w:rPr>
                                </w:pPr>
                                <w:sdt>
                                  <w:sdtPr>
                                    <w:rPr>
                                      <w:caps/>
                                      <w:color w:val="5B9BD5" w:themeColor="accent1"/>
                                      <w:sz w:val="64"/>
                                      <w:szCs w:val="64"/>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006E36FB">
                                      <w:rPr>
                                        <w:caps/>
                                        <w:color w:val="5B9BD5" w:themeColor="accent1"/>
                                        <w:sz w:val="64"/>
                                        <w:szCs w:val="64"/>
                                      </w:rPr>
                                      <w:t>Farmācijas, biomedicīnas un medicīnas tehnoloģiju un kompetences centra attīstības stratēģija</w:t>
                                    </w:r>
                                  </w:sdtContent>
                                </w:sdt>
                              </w:p>
                              <w:sdt>
                                <w:sdtPr>
                                  <w:rPr>
                                    <w:color w:val="404040" w:themeColor="text1" w:themeTint="BF"/>
                                    <w:sz w:val="36"/>
                                    <w:szCs w:val="36"/>
                                  </w:rPr>
                                  <w:alias w:val="Subtitle"/>
                                  <w:tag w:val=""/>
                                  <w:id w:val="1759551507"/>
                                  <w:showingPlcHdr/>
                                  <w:dataBinding w:prefixMappings="xmlns:ns0='http://purl.org/dc/elements/1.1/' xmlns:ns1='http://schemas.openxmlformats.org/package/2006/metadata/core-properties' " w:xpath="/ns1:coreProperties[1]/ns0:subject[1]" w:storeItemID="{6C3C8BC8-F283-45AE-878A-BAB7291924A1}"/>
                                  <w:text/>
                                </w:sdtPr>
                                <w:sdtContent>
                                  <w:p w14:paraId="52868CBE" w14:textId="35326075" w:rsidR="006E36FB" w:rsidRDefault="002319D2">
                                    <w:pPr>
                                      <w:jc w:val="right"/>
                                      <w:rPr>
                                        <w:smallCaps/>
                                        <w:color w:val="404040" w:themeColor="text1" w:themeTint="BF"/>
                                        <w:sz w:val="36"/>
                                        <w:szCs w:val="36"/>
                                      </w:rPr>
                                    </w:pPr>
                                    <w:r>
                                      <w:rPr>
                                        <w:color w:val="404040" w:themeColor="text1" w:themeTint="BF"/>
                                        <w:sz w:val="36"/>
                                        <w:szCs w:val="36"/>
                                      </w:rPr>
                                      <w:t xml:space="preserve">     </w:t>
                                    </w:r>
                                  </w:p>
                                </w:sdtContent>
                              </w:sdt>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36300</wp14:pctHeight>
                    </wp14:sizeRelV>
                  </wp:anchor>
                </w:drawing>
              </mc:Choice>
              <mc:Fallback>
                <w:pict>
                  <v:shape w14:anchorId="4A55A13B" id="Text Box 154" o:spid="_x0000_s1027" type="#_x0000_t202" style="position:absolute;left:0;text-align:left;margin-left:0;margin-top:0;width:8in;height:286.5pt;z-index:251658240;visibility:visible;mso-wrap-style:square;mso-width-percent:941;mso-height-percent:363;mso-top-percent:300;mso-wrap-distance-left:9pt;mso-wrap-distance-top:0;mso-wrap-distance-right:9pt;mso-wrap-distance-bottom:0;mso-position-horizontal:center;mso-position-horizontal-relative:page;mso-position-vertical-relative:page;mso-width-percent:941;mso-height-percent:363;mso-top-percent:30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" filled="f" stroked="f" strokeweight=".5pt">
                    <v:textbox inset="126pt,0,54pt,0">
                      <w:txbxContent>
                        <w:p w14:paraId="0552BF6E" w14:textId="69C13856" w:rsidR="006E36FB" w:rsidRDefault="00000000">
                          <w:pPr>
                            <w:jc w:val="right"/>
                            <w:rPr>
                              <w:color w:val="5B9BD5" w:themeColor="accent1"/>
                              <w:sz w:val="64"/>
                              <w:szCs w:val="64"/>
                            </w:rPr>
                          </w:pPr>
                          <w:sdt>
                            <w:sdtPr>
                              <w:rPr>
                                <w:caps/>
                                <w:color w:val="5B9BD5" w:themeColor="accent1"/>
                                <w:sz w:val="64"/>
                                <w:szCs w:val="64"/>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006E36FB">
                                <w:rPr>
                                  <w:caps/>
                                  <w:color w:val="5B9BD5" w:themeColor="accent1"/>
                                  <w:sz w:val="64"/>
                                  <w:szCs w:val="64"/>
                                </w:rPr>
                                <w:t>Farmācijas, biomedicīnas un medicīnas tehnoloģiju un kompetences centra attīstības stratēģija</w:t>
                              </w:r>
                            </w:sdtContent>
                          </w:sdt>
                        </w:p>
                        <w:sdt>
                          <w:sdtPr>
                            <w:rPr>
                              <w:color w:val="404040" w:themeColor="text1" w:themeTint="BF"/>
                              <w:sz w:val="36"/>
                              <w:szCs w:val="36"/>
                            </w:rPr>
                            <w:alias w:val="Subtitle"/>
                            <w:tag w:val=""/>
                            <w:id w:val="1759551507"/>
                            <w:showingPlcHdr/>
                            <w:dataBinding w:prefixMappings="xmlns:ns0='http://purl.org/dc/elements/1.1/' xmlns:ns1='http://schemas.openxmlformats.org/package/2006/metadata/core-properties' " w:xpath="/ns1:coreProperties[1]/ns0:subject[1]" w:storeItemID="{6C3C8BC8-F283-45AE-878A-BAB7291924A1}"/>
                            <w:text/>
                          </w:sdtPr>
                          <w:sdtContent>
                            <w:p w14:paraId="52868CBE" w14:textId="35326075" w:rsidR="006E36FB" w:rsidRDefault="002319D2">
                              <w:pPr>
                                <w:jc w:val="right"/>
                                <w:rPr>
                                  <w:smallCaps/>
                                  <w:color w:val="404040" w:themeColor="text1" w:themeTint="BF"/>
                                  <w:sz w:val="36"/>
                                  <w:szCs w:val="36"/>
                                </w:rPr>
                              </w:pPr>
                              <w:r>
                                <w:rPr>
                                  <w:color w:val="404040" w:themeColor="text1" w:themeTint="BF"/>
                                  <w:sz w:val="36"/>
                                  <w:szCs w:val="36"/>
                                </w:rPr>
                                <w:t xml:space="preserve">     </w:t>
                              </w:r>
                            </w:p>
                          </w:sdtContent>
                        </w:sdt>
                      </w:txbxContent>
                    </v:textbox>
                    <w10:wrap type="square" anchorx="page" anchory="page"/>
                  </v:shape>
                </w:pict>
              </mc:Fallback>
            </mc:AlternateContent>
          </w:r>
        </w:p>
        <w:p w14:paraId="1286EA0F" w14:textId="5BD780D6" w:rsidR="00404C73" w:rsidRPr="003C3E93" w:rsidRDefault="00404C73">
          <w:pPr>
            <w:keepLines w:val="0"/>
            <w:shd w:val="clear" w:color="auto" w:fill="auto"/>
            <w:spacing w:before="0" w:after="160" w:line="259" w:lineRule="auto"/>
            <w:jc w:val="left"/>
            <w:rPr>
              <w:noProof/>
              <w:lang w:eastAsia="lv-LV"/>
            </w:rPr>
          </w:pPr>
          <w:r w:rsidRPr="003C3E93">
            <w:rPr>
              <w:bCs/>
              <w:noProof/>
              <w:lang w:eastAsia="lv-LV"/>
            </w:rPr>
            <w:br w:type="page"/>
          </w:r>
        </w:p>
      </w:sdtContent>
    </w:sdt>
    <w:p w14:paraId="40AC1536" w14:textId="051BB1F6" w:rsidR="00DC4AAC" w:rsidRDefault="00DC4AAC" w:rsidP="00AA7AA5">
      <w:pPr>
        <w:pStyle w:val="Heading1"/>
        <w:numPr>
          <w:ilvl w:val="0"/>
          <w:numId w:val="0"/>
        </w:numPr>
        <w:ind w:left="431"/>
      </w:pPr>
      <w:bookmarkStart w:id="0" w:name="_Toc119072214"/>
      <w:r>
        <w:lastRenderedPageBreak/>
        <w:t>Saturs</w:t>
      </w:r>
      <w:bookmarkEnd w:id="0"/>
    </w:p>
    <w:p w14:paraId="374BC02F" w14:textId="1D6D5B87" w:rsidR="008A3C56" w:rsidRDefault="008E43B2">
      <w:pPr>
        <w:pStyle w:val="TOC1"/>
        <w:rPr>
          <w:noProof/>
          <w:sz w:val="22"/>
          <w:szCs w:val="22"/>
          <w:shd w:val="clear" w:color="auto" w:fill="auto"/>
          <w:lang w:val="en-US"/>
        </w:rPr>
      </w:pPr>
      <w:r>
        <w:fldChar w:fldCharType="begin"/>
      </w:r>
      <w:r w:rsidR="00DC4AAC">
        <w:instrText xml:space="preserve"> TOC \o "1-2" \h \z \u </w:instrText>
      </w:r>
      <w:r>
        <w:fldChar w:fldCharType="separate"/>
      </w:r>
      <w:hyperlink w:anchor="_Toc119072214" w:history="1">
        <w:r w:rsidR="008A3C56" w:rsidRPr="005367A6">
          <w:rPr>
            <w:rStyle w:val="Hyperlink"/>
            <w:noProof/>
          </w:rPr>
          <w:t>Saturs</w:t>
        </w:r>
        <w:r w:rsidR="008A3C56">
          <w:rPr>
            <w:noProof/>
            <w:webHidden/>
          </w:rPr>
          <w:tab/>
        </w:r>
        <w:r w:rsidR="008A3C56">
          <w:rPr>
            <w:noProof/>
            <w:webHidden/>
          </w:rPr>
          <w:fldChar w:fldCharType="begin"/>
        </w:r>
        <w:r w:rsidR="008A3C56">
          <w:rPr>
            <w:noProof/>
            <w:webHidden/>
          </w:rPr>
          <w:instrText xml:space="preserve"> PAGEREF _Toc119072214 \h </w:instrText>
        </w:r>
        <w:r w:rsidR="008A3C56">
          <w:rPr>
            <w:noProof/>
            <w:webHidden/>
          </w:rPr>
        </w:r>
        <w:r w:rsidR="008A3C56">
          <w:rPr>
            <w:noProof/>
            <w:webHidden/>
          </w:rPr>
          <w:fldChar w:fldCharType="separate"/>
        </w:r>
        <w:r w:rsidR="008A3C56">
          <w:rPr>
            <w:noProof/>
            <w:webHidden/>
          </w:rPr>
          <w:t>2</w:t>
        </w:r>
        <w:r w:rsidR="008A3C56">
          <w:rPr>
            <w:noProof/>
            <w:webHidden/>
          </w:rPr>
          <w:fldChar w:fldCharType="end"/>
        </w:r>
      </w:hyperlink>
    </w:p>
    <w:p w14:paraId="701894CD" w14:textId="09F2777F" w:rsidR="008A3C56" w:rsidRDefault="00000000">
      <w:pPr>
        <w:pStyle w:val="TOC1"/>
        <w:rPr>
          <w:noProof/>
          <w:sz w:val="22"/>
          <w:szCs w:val="22"/>
          <w:shd w:val="clear" w:color="auto" w:fill="auto"/>
          <w:lang w:val="en-US"/>
        </w:rPr>
      </w:pPr>
      <w:hyperlink w:anchor="_Toc119072215" w:history="1">
        <w:r w:rsidR="008A3C56" w:rsidRPr="005367A6">
          <w:rPr>
            <w:rStyle w:val="Hyperlink"/>
            <w:noProof/>
          </w:rPr>
          <w:t>Kopsavilkums</w:t>
        </w:r>
        <w:r w:rsidR="008A3C56">
          <w:rPr>
            <w:noProof/>
            <w:webHidden/>
          </w:rPr>
          <w:tab/>
        </w:r>
        <w:r w:rsidR="008A3C56">
          <w:rPr>
            <w:noProof/>
            <w:webHidden/>
          </w:rPr>
          <w:fldChar w:fldCharType="begin"/>
        </w:r>
        <w:r w:rsidR="008A3C56">
          <w:rPr>
            <w:noProof/>
            <w:webHidden/>
          </w:rPr>
          <w:instrText xml:space="preserve"> PAGEREF _Toc119072215 \h </w:instrText>
        </w:r>
        <w:r w:rsidR="008A3C56">
          <w:rPr>
            <w:noProof/>
            <w:webHidden/>
          </w:rPr>
        </w:r>
        <w:r w:rsidR="008A3C56">
          <w:rPr>
            <w:noProof/>
            <w:webHidden/>
          </w:rPr>
          <w:fldChar w:fldCharType="separate"/>
        </w:r>
        <w:r w:rsidR="008A3C56">
          <w:rPr>
            <w:noProof/>
            <w:webHidden/>
          </w:rPr>
          <w:t>3</w:t>
        </w:r>
        <w:r w:rsidR="008A3C56">
          <w:rPr>
            <w:noProof/>
            <w:webHidden/>
          </w:rPr>
          <w:fldChar w:fldCharType="end"/>
        </w:r>
      </w:hyperlink>
    </w:p>
    <w:p w14:paraId="7A11727B" w14:textId="192A8F08" w:rsidR="008A3C56" w:rsidRDefault="00000000">
      <w:pPr>
        <w:pStyle w:val="TOC1"/>
        <w:rPr>
          <w:noProof/>
          <w:sz w:val="22"/>
          <w:szCs w:val="22"/>
          <w:shd w:val="clear" w:color="auto" w:fill="auto"/>
          <w:lang w:val="en-US"/>
        </w:rPr>
      </w:pPr>
      <w:hyperlink w:anchor="_Toc119072216" w:history="1">
        <w:r w:rsidR="008A3C56" w:rsidRPr="005367A6">
          <w:rPr>
            <w:rStyle w:val="Hyperlink"/>
            <w:noProof/>
          </w:rPr>
          <w:t>1.</w:t>
        </w:r>
        <w:r w:rsidR="008A3C56">
          <w:rPr>
            <w:noProof/>
            <w:sz w:val="22"/>
            <w:szCs w:val="22"/>
            <w:shd w:val="clear" w:color="auto" w:fill="auto"/>
            <w:lang w:val="en-US"/>
          </w:rPr>
          <w:tab/>
        </w:r>
        <w:r w:rsidR="008A3C56" w:rsidRPr="005367A6">
          <w:rPr>
            <w:rStyle w:val="Hyperlink"/>
            <w:noProof/>
          </w:rPr>
          <w:t>Izvēlētā viedās specializācijas joma</w:t>
        </w:r>
        <w:r w:rsidR="008A3C56">
          <w:rPr>
            <w:noProof/>
            <w:webHidden/>
          </w:rPr>
          <w:tab/>
        </w:r>
        <w:r w:rsidR="008A3C56">
          <w:rPr>
            <w:noProof/>
            <w:webHidden/>
          </w:rPr>
          <w:fldChar w:fldCharType="begin"/>
        </w:r>
        <w:r w:rsidR="008A3C56">
          <w:rPr>
            <w:noProof/>
            <w:webHidden/>
          </w:rPr>
          <w:instrText xml:space="preserve"> PAGEREF _Toc119072216 \h </w:instrText>
        </w:r>
        <w:r w:rsidR="008A3C56">
          <w:rPr>
            <w:noProof/>
            <w:webHidden/>
          </w:rPr>
        </w:r>
        <w:r w:rsidR="008A3C56">
          <w:rPr>
            <w:noProof/>
            <w:webHidden/>
          </w:rPr>
          <w:fldChar w:fldCharType="separate"/>
        </w:r>
        <w:r w:rsidR="008A3C56">
          <w:rPr>
            <w:noProof/>
            <w:webHidden/>
          </w:rPr>
          <w:t>8</w:t>
        </w:r>
        <w:r w:rsidR="008A3C56">
          <w:rPr>
            <w:noProof/>
            <w:webHidden/>
          </w:rPr>
          <w:fldChar w:fldCharType="end"/>
        </w:r>
      </w:hyperlink>
    </w:p>
    <w:p w14:paraId="0A61DC30" w14:textId="0ADC5F3D" w:rsidR="008A3C56" w:rsidRDefault="00000000">
      <w:pPr>
        <w:pStyle w:val="TOC2"/>
        <w:rPr>
          <w:noProof/>
          <w:sz w:val="22"/>
          <w:szCs w:val="22"/>
          <w:shd w:val="clear" w:color="auto" w:fill="auto"/>
          <w:lang w:val="en-US"/>
        </w:rPr>
      </w:pPr>
      <w:hyperlink w:anchor="_Toc119072217" w:history="1">
        <w:r w:rsidR="008A3C56" w:rsidRPr="005367A6">
          <w:rPr>
            <w:rStyle w:val="Hyperlink"/>
            <w:noProof/>
          </w:rPr>
          <w:t>1.1.</w:t>
        </w:r>
        <w:r w:rsidR="008A3C56">
          <w:rPr>
            <w:noProof/>
            <w:sz w:val="22"/>
            <w:szCs w:val="22"/>
            <w:shd w:val="clear" w:color="auto" w:fill="auto"/>
            <w:lang w:val="en-US"/>
          </w:rPr>
          <w:tab/>
        </w:r>
        <w:r w:rsidR="008A3C56" w:rsidRPr="005367A6">
          <w:rPr>
            <w:rStyle w:val="Hyperlink"/>
            <w:noProof/>
          </w:rPr>
          <w:t>Jomas pārstāvji. Jomas/apakšjomas komersantu produktu grozs un tā attīstības un pielāgošanas iespējas globālajam tirgum</w:t>
        </w:r>
        <w:r w:rsidR="008A3C56">
          <w:rPr>
            <w:noProof/>
            <w:webHidden/>
          </w:rPr>
          <w:tab/>
        </w:r>
        <w:r w:rsidR="008A3C56">
          <w:rPr>
            <w:noProof/>
            <w:webHidden/>
          </w:rPr>
          <w:fldChar w:fldCharType="begin"/>
        </w:r>
        <w:r w:rsidR="008A3C56">
          <w:rPr>
            <w:noProof/>
            <w:webHidden/>
          </w:rPr>
          <w:instrText xml:space="preserve"> PAGEREF _Toc119072217 \h </w:instrText>
        </w:r>
        <w:r w:rsidR="008A3C56">
          <w:rPr>
            <w:noProof/>
            <w:webHidden/>
          </w:rPr>
        </w:r>
        <w:r w:rsidR="008A3C56">
          <w:rPr>
            <w:noProof/>
            <w:webHidden/>
          </w:rPr>
          <w:fldChar w:fldCharType="separate"/>
        </w:r>
        <w:r w:rsidR="008A3C56">
          <w:rPr>
            <w:noProof/>
            <w:webHidden/>
          </w:rPr>
          <w:t>8</w:t>
        </w:r>
        <w:r w:rsidR="008A3C56">
          <w:rPr>
            <w:noProof/>
            <w:webHidden/>
          </w:rPr>
          <w:fldChar w:fldCharType="end"/>
        </w:r>
      </w:hyperlink>
    </w:p>
    <w:p w14:paraId="6748C885" w14:textId="18D754D7" w:rsidR="008A3C56" w:rsidRDefault="00000000">
      <w:pPr>
        <w:pStyle w:val="TOC2"/>
        <w:rPr>
          <w:noProof/>
          <w:sz w:val="22"/>
          <w:szCs w:val="22"/>
          <w:shd w:val="clear" w:color="auto" w:fill="auto"/>
          <w:lang w:val="en-US"/>
        </w:rPr>
      </w:pPr>
      <w:hyperlink w:anchor="_Toc119072218" w:history="1">
        <w:r w:rsidR="008A3C56" w:rsidRPr="005367A6">
          <w:rPr>
            <w:rStyle w:val="Hyperlink"/>
            <w:noProof/>
          </w:rPr>
          <w:t>1.2.</w:t>
        </w:r>
        <w:r w:rsidR="008A3C56">
          <w:rPr>
            <w:noProof/>
            <w:sz w:val="22"/>
            <w:szCs w:val="22"/>
            <w:shd w:val="clear" w:color="auto" w:fill="auto"/>
            <w:lang w:val="en-US"/>
          </w:rPr>
          <w:tab/>
        </w:r>
        <w:r w:rsidR="008A3C56" w:rsidRPr="005367A6">
          <w:rPr>
            <w:rStyle w:val="Hyperlink"/>
            <w:noProof/>
          </w:rPr>
          <w:t>Mehānisms jomas zinātnisko institūciju un augstākās izglītības institūciju iesaistīšanai kompetences centra pētniecības projektu atlases padomē</w:t>
        </w:r>
        <w:r w:rsidR="008A3C56">
          <w:rPr>
            <w:noProof/>
            <w:webHidden/>
          </w:rPr>
          <w:tab/>
        </w:r>
        <w:r w:rsidR="008A3C56">
          <w:rPr>
            <w:noProof/>
            <w:webHidden/>
          </w:rPr>
          <w:fldChar w:fldCharType="begin"/>
        </w:r>
        <w:r w:rsidR="008A3C56">
          <w:rPr>
            <w:noProof/>
            <w:webHidden/>
          </w:rPr>
          <w:instrText xml:space="preserve"> PAGEREF _Toc119072218 \h </w:instrText>
        </w:r>
        <w:r w:rsidR="008A3C56">
          <w:rPr>
            <w:noProof/>
            <w:webHidden/>
          </w:rPr>
        </w:r>
        <w:r w:rsidR="008A3C56">
          <w:rPr>
            <w:noProof/>
            <w:webHidden/>
          </w:rPr>
          <w:fldChar w:fldCharType="separate"/>
        </w:r>
        <w:r w:rsidR="008A3C56">
          <w:rPr>
            <w:noProof/>
            <w:webHidden/>
          </w:rPr>
          <w:t>14</w:t>
        </w:r>
        <w:r w:rsidR="008A3C56">
          <w:rPr>
            <w:noProof/>
            <w:webHidden/>
          </w:rPr>
          <w:fldChar w:fldCharType="end"/>
        </w:r>
      </w:hyperlink>
    </w:p>
    <w:p w14:paraId="6E418129" w14:textId="5AD737BF" w:rsidR="008A3C56" w:rsidRDefault="00000000">
      <w:pPr>
        <w:pStyle w:val="TOC2"/>
        <w:rPr>
          <w:noProof/>
          <w:sz w:val="22"/>
          <w:szCs w:val="22"/>
          <w:shd w:val="clear" w:color="auto" w:fill="auto"/>
          <w:lang w:val="en-US"/>
        </w:rPr>
      </w:pPr>
      <w:hyperlink w:anchor="_Toc119072219" w:history="1">
        <w:r w:rsidR="008A3C56" w:rsidRPr="005367A6">
          <w:rPr>
            <w:rStyle w:val="Hyperlink"/>
            <w:noProof/>
          </w:rPr>
          <w:t>1.3.</w:t>
        </w:r>
        <w:r w:rsidR="008A3C56">
          <w:rPr>
            <w:noProof/>
            <w:sz w:val="22"/>
            <w:szCs w:val="22"/>
            <w:shd w:val="clear" w:color="auto" w:fill="auto"/>
            <w:lang w:val="en-US"/>
          </w:rPr>
          <w:tab/>
        </w:r>
        <w:r w:rsidR="008A3C56" w:rsidRPr="005367A6">
          <w:rPr>
            <w:rStyle w:val="Hyperlink"/>
            <w:noProof/>
          </w:rPr>
          <w:t>Jomas attīstības tendences pasaulē</w:t>
        </w:r>
        <w:r w:rsidR="008A3C56">
          <w:rPr>
            <w:noProof/>
            <w:webHidden/>
          </w:rPr>
          <w:tab/>
        </w:r>
        <w:r w:rsidR="008A3C56">
          <w:rPr>
            <w:noProof/>
            <w:webHidden/>
          </w:rPr>
          <w:fldChar w:fldCharType="begin"/>
        </w:r>
        <w:r w:rsidR="008A3C56">
          <w:rPr>
            <w:noProof/>
            <w:webHidden/>
          </w:rPr>
          <w:instrText xml:space="preserve"> PAGEREF _Toc119072219 \h </w:instrText>
        </w:r>
        <w:r w:rsidR="008A3C56">
          <w:rPr>
            <w:noProof/>
            <w:webHidden/>
          </w:rPr>
        </w:r>
        <w:r w:rsidR="008A3C56">
          <w:rPr>
            <w:noProof/>
            <w:webHidden/>
          </w:rPr>
          <w:fldChar w:fldCharType="separate"/>
        </w:r>
        <w:r w:rsidR="008A3C56">
          <w:rPr>
            <w:noProof/>
            <w:webHidden/>
          </w:rPr>
          <w:t>15</w:t>
        </w:r>
        <w:r w:rsidR="008A3C56">
          <w:rPr>
            <w:noProof/>
            <w:webHidden/>
          </w:rPr>
          <w:fldChar w:fldCharType="end"/>
        </w:r>
      </w:hyperlink>
    </w:p>
    <w:p w14:paraId="620502D8" w14:textId="392238C2" w:rsidR="008A3C56" w:rsidRDefault="00000000">
      <w:pPr>
        <w:pStyle w:val="TOC2"/>
        <w:rPr>
          <w:noProof/>
          <w:sz w:val="22"/>
          <w:szCs w:val="22"/>
          <w:shd w:val="clear" w:color="auto" w:fill="auto"/>
          <w:lang w:val="en-US"/>
        </w:rPr>
      </w:pPr>
      <w:hyperlink w:anchor="_Toc119072220" w:history="1">
        <w:r w:rsidR="008A3C56" w:rsidRPr="005367A6">
          <w:rPr>
            <w:rStyle w:val="Hyperlink"/>
            <w:noProof/>
          </w:rPr>
          <w:t>1.4.</w:t>
        </w:r>
        <w:r w:rsidR="008A3C56">
          <w:rPr>
            <w:noProof/>
            <w:sz w:val="22"/>
            <w:szCs w:val="22"/>
            <w:shd w:val="clear" w:color="auto" w:fill="auto"/>
            <w:lang w:val="en-US"/>
          </w:rPr>
          <w:tab/>
        </w:r>
        <w:r w:rsidR="008A3C56" w:rsidRPr="005367A6">
          <w:rPr>
            <w:rStyle w:val="Hyperlink"/>
            <w:noProof/>
          </w:rPr>
          <w:t>Jomas attīstības tendences Latvijā</w:t>
        </w:r>
        <w:r w:rsidR="008A3C56">
          <w:rPr>
            <w:noProof/>
            <w:webHidden/>
          </w:rPr>
          <w:tab/>
        </w:r>
        <w:r w:rsidR="008A3C56">
          <w:rPr>
            <w:noProof/>
            <w:webHidden/>
          </w:rPr>
          <w:fldChar w:fldCharType="begin"/>
        </w:r>
        <w:r w:rsidR="008A3C56">
          <w:rPr>
            <w:noProof/>
            <w:webHidden/>
          </w:rPr>
          <w:instrText xml:space="preserve"> PAGEREF _Toc119072220 \h </w:instrText>
        </w:r>
        <w:r w:rsidR="008A3C56">
          <w:rPr>
            <w:noProof/>
            <w:webHidden/>
          </w:rPr>
        </w:r>
        <w:r w:rsidR="008A3C56">
          <w:rPr>
            <w:noProof/>
            <w:webHidden/>
          </w:rPr>
          <w:fldChar w:fldCharType="separate"/>
        </w:r>
        <w:r w:rsidR="008A3C56">
          <w:rPr>
            <w:noProof/>
            <w:webHidden/>
          </w:rPr>
          <w:t>20</w:t>
        </w:r>
        <w:r w:rsidR="008A3C56">
          <w:rPr>
            <w:noProof/>
            <w:webHidden/>
          </w:rPr>
          <w:fldChar w:fldCharType="end"/>
        </w:r>
      </w:hyperlink>
    </w:p>
    <w:p w14:paraId="754B0988" w14:textId="2619BA0E" w:rsidR="008A3C56" w:rsidRDefault="00000000">
      <w:pPr>
        <w:pStyle w:val="TOC2"/>
        <w:rPr>
          <w:noProof/>
          <w:sz w:val="22"/>
          <w:szCs w:val="22"/>
          <w:shd w:val="clear" w:color="auto" w:fill="auto"/>
          <w:lang w:val="en-US"/>
        </w:rPr>
      </w:pPr>
      <w:hyperlink w:anchor="_Toc119072221" w:history="1">
        <w:r w:rsidR="008A3C56" w:rsidRPr="005367A6">
          <w:rPr>
            <w:rStyle w:val="Hyperlink"/>
            <w:noProof/>
          </w:rPr>
          <w:t>1.5.</w:t>
        </w:r>
        <w:r w:rsidR="008A3C56">
          <w:rPr>
            <w:noProof/>
            <w:sz w:val="22"/>
            <w:szCs w:val="22"/>
            <w:shd w:val="clear" w:color="auto" w:fill="auto"/>
            <w:lang w:val="en-US"/>
          </w:rPr>
          <w:tab/>
        </w:r>
        <w:r w:rsidR="008A3C56" w:rsidRPr="005367A6">
          <w:rPr>
            <w:rStyle w:val="Hyperlink"/>
            <w:noProof/>
          </w:rPr>
          <w:t>Saimnieciskās darbības veicēju iespējas attīstīt konkurētspējas nišas</w:t>
        </w:r>
        <w:r w:rsidR="008A3C56">
          <w:rPr>
            <w:noProof/>
            <w:webHidden/>
          </w:rPr>
          <w:tab/>
        </w:r>
        <w:r w:rsidR="008A3C56">
          <w:rPr>
            <w:noProof/>
            <w:webHidden/>
          </w:rPr>
          <w:fldChar w:fldCharType="begin"/>
        </w:r>
        <w:r w:rsidR="008A3C56">
          <w:rPr>
            <w:noProof/>
            <w:webHidden/>
          </w:rPr>
          <w:instrText xml:space="preserve"> PAGEREF _Toc119072221 \h </w:instrText>
        </w:r>
        <w:r w:rsidR="008A3C56">
          <w:rPr>
            <w:noProof/>
            <w:webHidden/>
          </w:rPr>
        </w:r>
        <w:r w:rsidR="008A3C56">
          <w:rPr>
            <w:noProof/>
            <w:webHidden/>
          </w:rPr>
          <w:fldChar w:fldCharType="separate"/>
        </w:r>
        <w:r w:rsidR="008A3C56">
          <w:rPr>
            <w:noProof/>
            <w:webHidden/>
          </w:rPr>
          <w:t>30</w:t>
        </w:r>
        <w:r w:rsidR="008A3C56">
          <w:rPr>
            <w:noProof/>
            <w:webHidden/>
          </w:rPr>
          <w:fldChar w:fldCharType="end"/>
        </w:r>
      </w:hyperlink>
    </w:p>
    <w:p w14:paraId="5AB9AA47" w14:textId="2F92CDE0" w:rsidR="008A3C56" w:rsidRDefault="00000000">
      <w:pPr>
        <w:pStyle w:val="TOC2"/>
        <w:rPr>
          <w:noProof/>
          <w:sz w:val="22"/>
          <w:szCs w:val="22"/>
          <w:shd w:val="clear" w:color="auto" w:fill="auto"/>
          <w:lang w:val="en-US"/>
        </w:rPr>
      </w:pPr>
      <w:hyperlink w:anchor="_Toc119072222" w:history="1">
        <w:r w:rsidR="008A3C56" w:rsidRPr="005367A6">
          <w:rPr>
            <w:rStyle w:val="Hyperlink"/>
            <w:noProof/>
          </w:rPr>
          <w:t>1.6.</w:t>
        </w:r>
        <w:r w:rsidR="008A3C56">
          <w:rPr>
            <w:noProof/>
            <w:sz w:val="22"/>
            <w:szCs w:val="22"/>
            <w:shd w:val="clear" w:color="auto" w:fill="auto"/>
            <w:lang w:val="en-US"/>
          </w:rPr>
          <w:tab/>
        </w:r>
        <w:r w:rsidR="008A3C56" w:rsidRPr="005367A6">
          <w:rPr>
            <w:rStyle w:val="Hyperlink"/>
            <w:noProof/>
          </w:rPr>
          <w:t>Saistītās nozares (piegāžu ķēžu analīze)</w:t>
        </w:r>
        <w:r w:rsidR="008A3C56">
          <w:rPr>
            <w:noProof/>
            <w:webHidden/>
          </w:rPr>
          <w:tab/>
        </w:r>
        <w:r w:rsidR="008A3C56">
          <w:rPr>
            <w:noProof/>
            <w:webHidden/>
          </w:rPr>
          <w:fldChar w:fldCharType="begin"/>
        </w:r>
        <w:r w:rsidR="008A3C56">
          <w:rPr>
            <w:noProof/>
            <w:webHidden/>
          </w:rPr>
          <w:instrText xml:space="preserve"> PAGEREF _Toc119072222 \h </w:instrText>
        </w:r>
        <w:r w:rsidR="008A3C56">
          <w:rPr>
            <w:noProof/>
            <w:webHidden/>
          </w:rPr>
        </w:r>
        <w:r w:rsidR="008A3C56">
          <w:rPr>
            <w:noProof/>
            <w:webHidden/>
          </w:rPr>
          <w:fldChar w:fldCharType="separate"/>
        </w:r>
        <w:r w:rsidR="008A3C56">
          <w:rPr>
            <w:noProof/>
            <w:webHidden/>
          </w:rPr>
          <w:t>33</w:t>
        </w:r>
        <w:r w:rsidR="008A3C56">
          <w:rPr>
            <w:noProof/>
            <w:webHidden/>
          </w:rPr>
          <w:fldChar w:fldCharType="end"/>
        </w:r>
      </w:hyperlink>
    </w:p>
    <w:p w14:paraId="1FC65A02" w14:textId="1CC7939D" w:rsidR="008A3C56" w:rsidRDefault="00000000">
      <w:pPr>
        <w:pStyle w:val="TOC2"/>
        <w:rPr>
          <w:noProof/>
          <w:sz w:val="22"/>
          <w:szCs w:val="22"/>
          <w:shd w:val="clear" w:color="auto" w:fill="auto"/>
          <w:lang w:val="en-US"/>
        </w:rPr>
      </w:pPr>
      <w:hyperlink w:anchor="_Toc119072223" w:history="1">
        <w:r w:rsidR="008A3C56" w:rsidRPr="005367A6">
          <w:rPr>
            <w:rStyle w:val="Hyperlink"/>
            <w:noProof/>
          </w:rPr>
          <w:t>1.7.</w:t>
        </w:r>
        <w:r w:rsidR="008A3C56">
          <w:rPr>
            <w:noProof/>
            <w:sz w:val="22"/>
            <w:szCs w:val="22"/>
            <w:shd w:val="clear" w:color="auto" w:fill="auto"/>
            <w:lang w:val="en-US"/>
          </w:rPr>
          <w:tab/>
        </w:r>
        <w:r w:rsidR="008A3C56" w:rsidRPr="005367A6">
          <w:rPr>
            <w:rStyle w:val="Hyperlink"/>
            <w:noProof/>
          </w:rPr>
          <w:t>Nākotnes perspektīvākie segmenti globālajā tirgū</w:t>
        </w:r>
        <w:r w:rsidR="008A3C56">
          <w:rPr>
            <w:noProof/>
            <w:webHidden/>
          </w:rPr>
          <w:tab/>
        </w:r>
        <w:r w:rsidR="008A3C56">
          <w:rPr>
            <w:noProof/>
            <w:webHidden/>
          </w:rPr>
          <w:fldChar w:fldCharType="begin"/>
        </w:r>
        <w:r w:rsidR="008A3C56">
          <w:rPr>
            <w:noProof/>
            <w:webHidden/>
          </w:rPr>
          <w:instrText xml:space="preserve"> PAGEREF _Toc119072223 \h </w:instrText>
        </w:r>
        <w:r w:rsidR="008A3C56">
          <w:rPr>
            <w:noProof/>
            <w:webHidden/>
          </w:rPr>
        </w:r>
        <w:r w:rsidR="008A3C56">
          <w:rPr>
            <w:noProof/>
            <w:webHidden/>
          </w:rPr>
          <w:fldChar w:fldCharType="separate"/>
        </w:r>
        <w:r w:rsidR="008A3C56">
          <w:rPr>
            <w:noProof/>
            <w:webHidden/>
          </w:rPr>
          <w:t>35</w:t>
        </w:r>
        <w:r w:rsidR="008A3C56">
          <w:rPr>
            <w:noProof/>
            <w:webHidden/>
          </w:rPr>
          <w:fldChar w:fldCharType="end"/>
        </w:r>
      </w:hyperlink>
    </w:p>
    <w:p w14:paraId="1777CE01" w14:textId="36407D83" w:rsidR="008A3C56" w:rsidRDefault="00000000">
      <w:pPr>
        <w:pStyle w:val="TOC1"/>
        <w:rPr>
          <w:noProof/>
          <w:sz w:val="22"/>
          <w:szCs w:val="22"/>
          <w:shd w:val="clear" w:color="auto" w:fill="auto"/>
          <w:lang w:val="en-US"/>
        </w:rPr>
      </w:pPr>
      <w:hyperlink w:anchor="_Toc119072224" w:history="1">
        <w:r w:rsidR="008A3C56" w:rsidRPr="005367A6">
          <w:rPr>
            <w:rStyle w:val="Hyperlink"/>
            <w:noProof/>
            <w:lang w:eastAsia="lv-LV"/>
          </w:rPr>
          <w:t>2.</w:t>
        </w:r>
        <w:r w:rsidR="008A3C56">
          <w:rPr>
            <w:noProof/>
            <w:sz w:val="22"/>
            <w:szCs w:val="22"/>
            <w:shd w:val="clear" w:color="auto" w:fill="auto"/>
            <w:lang w:val="en-US"/>
          </w:rPr>
          <w:tab/>
        </w:r>
        <w:r w:rsidR="008A3C56" w:rsidRPr="005367A6">
          <w:rPr>
            <w:rStyle w:val="Hyperlink"/>
            <w:noProof/>
            <w:lang w:eastAsia="lv-LV"/>
          </w:rPr>
          <w:t>Pētniecības virzienu pamatojums</w:t>
        </w:r>
        <w:r w:rsidR="008A3C56">
          <w:rPr>
            <w:noProof/>
            <w:webHidden/>
          </w:rPr>
          <w:tab/>
        </w:r>
        <w:r w:rsidR="008A3C56">
          <w:rPr>
            <w:noProof/>
            <w:webHidden/>
          </w:rPr>
          <w:fldChar w:fldCharType="begin"/>
        </w:r>
        <w:r w:rsidR="008A3C56">
          <w:rPr>
            <w:noProof/>
            <w:webHidden/>
          </w:rPr>
          <w:instrText xml:space="preserve"> PAGEREF _Toc119072224 \h </w:instrText>
        </w:r>
        <w:r w:rsidR="008A3C56">
          <w:rPr>
            <w:noProof/>
            <w:webHidden/>
          </w:rPr>
        </w:r>
        <w:r w:rsidR="008A3C56">
          <w:rPr>
            <w:noProof/>
            <w:webHidden/>
          </w:rPr>
          <w:fldChar w:fldCharType="separate"/>
        </w:r>
        <w:r w:rsidR="008A3C56">
          <w:rPr>
            <w:noProof/>
            <w:webHidden/>
          </w:rPr>
          <w:t>40</w:t>
        </w:r>
        <w:r w:rsidR="008A3C56">
          <w:rPr>
            <w:noProof/>
            <w:webHidden/>
          </w:rPr>
          <w:fldChar w:fldCharType="end"/>
        </w:r>
      </w:hyperlink>
    </w:p>
    <w:p w14:paraId="6A26B695" w14:textId="0B8BC4CF" w:rsidR="008A3C56" w:rsidRDefault="00000000">
      <w:pPr>
        <w:pStyle w:val="TOC1"/>
        <w:rPr>
          <w:noProof/>
          <w:sz w:val="22"/>
          <w:szCs w:val="22"/>
          <w:shd w:val="clear" w:color="auto" w:fill="auto"/>
          <w:lang w:val="en-US"/>
        </w:rPr>
      </w:pPr>
      <w:hyperlink w:anchor="_Toc119072225" w:history="1">
        <w:r w:rsidR="008A3C56" w:rsidRPr="005367A6">
          <w:rPr>
            <w:rStyle w:val="Hyperlink"/>
            <w:noProof/>
            <w:lang w:eastAsia="lv-LV"/>
          </w:rPr>
          <w:t>3.</w:t>
        </w:r>
        <w:r w:rsidR="008A3C56">
          <w:rPr>
            <w:noProof/>
            <w:sz w:val="22"/>
            <w:szCs w:val="22"/>
            <w:shd w:val="clear" w:color="auto" w:fill="auto"/>
            <w:lang w:val="en-US"/>
          </w:rPr>
          <w:tab/>
        </w:r>
        <w:r w:rsidR="008A3C56" w:rsidRPr="005367A6">
          <w:rPr>
            <w:rStyle w:val="Hyperlink"/>
            <w:noProof/>
            <w:lang w:eastAsia="lv-LV"/>
          </w:rPr>
          <w:t>Sadarbība starp komersantiem, zinātniskajām institūcijām un augstākās izglītības institūcijām</w:t>
        </w:r>
        <w:r w:rsidR="008A3C56">
          <w:rPr>
            <w:noProof/>
            <w:webHidden/>
          </w:rPr>
          <w:tab/>
        </w:r>
        <w:r w:rsidR="008A3C56">
          <w:rPr>
            <w:noProof/>
            <w:webHidden/>
          </w:rPr>
          <w:fldChar w:fldCharType="begin"/>
        </w:r>
        <w:r w:rsidR="008A3C56">
          <w:rPr>
            <w:noProof/>
            <w:webHidden/>
          </w:rPr>
          <w:instrText xml:space="preserve"> PAGEREF _Toc119072225 \h </w:instrText>
        </w:r>
        <w:r w:rsidR="008A3C56">
          <w:rPr>
            <w:noProof/>
            <w:webHidden/>
          </w:rPr>
        </w:r>
        <w:r w:rsidR="008A3C56">
          <w:rPr>
            <w:noProof/>
            <w:webHidden/>
          </w:rPr>
          <w:fldChar w:fldCharType="separate"/>
        </w:r>
        <w:r w:rsidR="008A3C56">
          <w:rPr>
            <w:noProof/>
            <w:webHidden/>
          </w:rPr>
          <w:t>42</w:t>
        </w:r>
        <w:r w:rsidR="008A3C56">
          <w:rPr>
            <w:noProof/>
            <w:webHidden/>
          </w:rPr>
          <w:fldChar w:fldCharType="end"/>
        </w:r>
      </w:hyperlink>
    </w:p>
    <w:p w14:paraId="6A375123" w14:textId="6C4C4277" w:rsidR="008A3C56" w:rsidRDefault="00000000">
      <w:pPr>
        <w:pStyle w:val="TOC2"/>
        <w:rPr>
          <w:noProof/>
          <w:sz w:val="22"/>
          <w:szCs w:val="22"/>
          <w:shd w:val="clear" w:color="auto" w:fill="auto"/>
          <w:lang w:val="en-US"/>
        </w:rPr>
      </w:pPr>
      <w:hyperlink w:anchor="_Toc119072226" w:history="1">
        <w:r w:rsidR="008A3C56" w:rsidRPr="005367A6">
          <w:rPr>
            <w:rStyle w:val="Hyperlink"/>
            <w:noProof/>
            <w:lang w:eastAsia="lv-LV"/>
          </w:rPr>
          <w:t>3.1.</w:t>
        </w:r>
        <w:r w:rsidR="008A3C56">
          <w:rPr>
            <w:noProof/>
            <w:sz w:val="22"/>
            <w:szCs w:val="22"/>
            <w:shd w:val="clear" w:color="auto" w:fill="auto"/>
            <w:lang w:val="en-US"/>
          </w:rPr>
          <w:tab/>
        </w:r>
        <w:r w:rsidR="008A3C56" w:rsidRPr="005367A6">
          <w:rPr>
            <w:rStyle w:val="Hyperlink"/>
            <w:noProof/>
            <w:lang w:eastAsia="lv-LV"/>
          </w:rPr>
          <w:t>Esošā sadarbība</w:t>
        </w:r>
        <w:r w:rsidR="008A3C56">
          <w:rPr>
            <w:noProof/>
            <w:webHidden/>
          </w:rPr>
          <w:tab/>
        </w:r>
        <w:r w:rsidR="008A3C56">
          <w:rPr>
            <w:noProof/>
            <w:webHidden/>
          </w:rPr>
          <w:fldChar w:fldCharType="begin"/>
        </w:r>
        <w:r w:rsidR="008A3C56">
          <w:rPr>
            <w:noProof/>
            <w:webHidden/>
          </w:rPr>
          <w:instrText xml:space="preserve"> PAGEREF _Toc119072226 \h </w:instrText>
        </w:r>
        <w:r w:rsidR="008A3C56">
          <w:rPr>
            <w:noProof/>
            <w:webHidden/>
          </w:rPr>
        </w:r>
        <w:r w:rsidR="008A3C56">
          <w:rPr>
            <w:noProof/>
            <w:webHidden/>
          </w:rPr>
          <w:fldChar w:fldCharType="separate"/>
        </w:r>
        <w:r w:rsidR="008A3C56">
          <w:rPr>
            <w:noProof/>
            <w:webHidden/>
          </w:rPr>
          <w:t>42</w:t>
        </w:r>
        <w:r w:rsidR="008A3C56">
          <w:rPr>
            <w:noProof/>
            <w:webHidden/>
          </w:rPr>
          <w:fldChar w:fldCharType="end"/>
        </w:r>
      </w:hyperlink>
    </w:p>
    <w:p w14:paraId="673091D7" w14:textId="45938873" w:rsidR="008A3C56" w:rsidRDefault="00000000">
      <w:pPr>
        <w:pStyle w:val="TOC2"/>
        <w:rPr>
          <w:noProof/>
          <w:sz w:val="22"/>
          <w:szCs w:val="22"/>
          <w:shd w:val="clear" w:color="auto" w:fill="auto"/>
          <w:lang w:val="en-US"/>
        </w:rPr>
      </w:pPr>
      <w:hyperlink w:anchor="_Toc119072227" w:history="1">
        <w:r w:rsidR="008A3C56" w:rsidRPr="005367A6">
          <w:rPr>
            <w:rStyle w:val="Hyperlink"/>
            <w:noProof/>
            <w:lang w:eastAsia="lv-LV"/>
          </w:rPr>
          <w:t>3.2.</w:t>
        </w:r>
        <w:r w:rsidR="008A3C56">
          <w:rPr>
            <w:noProof/>
            <w:sz w:val="22"/>
            <w:szCs w:val="22"/>
            <w:shd w:val="clear" w:color="auto" w:fill="auto"/>
            <w:lang w:val="en-US"/>
          </w:rPr>
          <w:tab/>
        </w:r>
        <w:r w:rsidR="008A3C56" w:rsidRPr="005367A6">
          <w:rPr>
            <w:rStyle w:val="Hyperlink"/>
            <w:noProof/>
            <w:lang w:eastAsia="lv-LV"/>
          </w:rPr>
          <w:t>Plānotā sadarbība</w:t>
        </w:r>
        <w:r w:rsidR="008A3C56">
          <w:rPr>
            <w:noProof/>
            <w:webHidden/>
          </w:rPr>
          <w:tab/>
        </w:r>
        <w:r w:rsidR="008A3C56">
          <w:rPr>
            <w:noProof/>
            <w:webHidden/>
          </w:rPr>
          <w:fldChar w:fldCharType="begin"/>
        </w:r>
        <w:r w:rsidR="008A3C56">
          <w:rPr>
            <w:noProof/>
            <w:webHidden/>
          </w:rPr>
          <w:instrText xml:space="preserve"> PAGEREF _Toc119072227 \h </w:instrText>
        </w:r>
        <w:r w:rsidR="008A3C56">
          <w:rPr>
            <w:noProof/>
            <w:webHidden/>
          </w:rPr>
        </w:r>
        <w:r w:rsidR="008A3C56">
          <w:rPr>
            <w:noProof/>
            <w:webHidden/>
          </w:rPr>
          <w:fldChar w:fldCharType="separate"/>
        </w:r>
        <w:r w:rsidR="008A3C56">
          <w:rPr>
            <w:noProof/>
            <w:webHidden/>
          </w:rPr>
          <w:t>45</w:t>
        </w:r>
        <w:r w:rsidR="008A3C56">
          <w:rPr>
            <w:noProof/>
            <w:webHidden/>
          </w:rPr>
          <w:fldChar w:fldCharType="end"/>
        </w:r>
      </w:hyperlink>
    </w:p>
    <w:p w14:paraId="4D57D50C" w14:textId="598FC3B3" w:rsidR="008A3C56" w:rsidRDefault="00000000">
      <w:pPr>
        <w:pStyle w:val="TOC1"/>
        <w:rPr>
          <w:noProof/>
          <w:sz w:val="22"/>
          <w:szCs w:val="22"/>
          <w:shd w:val="clear" w:color="auto" w:fill="auto"/>
          <w:lang w:val="en-US"/>
        </w:rPr>
      </w:pPr>
      <w:hyperlink w:anchor="_Toc119072228" w:history="1">
        <w:r w:rsidR="008A3C56" w:rsidRPr="005367A6">
          <w:rPr>
            <w:rStyle w:val="Hyperlink"/>
            <w:noProof/>
            <w:lang w:eastAsia="lv-LV"/>
          </w:rPr>
          <w:t>4.</w:t>
        </w:r>
        <w:r w:rsidR="008A3C56">
          <w:rPr>
            <w:noProof/>
            <w:sz w:val="22"/>
            <w:szCs w:val="22"/>
            <w:shd w:val="clear" w:color="auto" w:fill="auto"/>
            <w:lang w:val="en-US"/>
          </w:rPr>
          <w:tab/>
        </w:r>
        <w:r w:rsidR="008A3C56" w:rsidRPr="005367A6">
          <w:rPr>
            <w:rStyle w:val="Hyperlink"/>
            <w:noProof/>
            <w:lang w:eastAsia="lv-LV"/>
          </w:rPr>
          <w:t>Kompetences centra ieguldījums Latvijas Viedās specializācijas stratēģijā</w:t>
        </w:r>
        <w:r w:rsidR="008A3C56">
          <w:rPr>
            <w:noProof/>
            <w:webHidden/>
          </w:rPr>
          <w:tab/>
        </w:r>
        <w:r w:rsidR="008A3C56">
          <w:rPr>
            <w:noProof/>
            <w:webHidden/>
          </w:rPr>
          <w:fldChar w:fldCharType="begin"/>
        </w:r>
        <w:r w:rsidR="008A3C56">
          <w:rPr>
            <w:noProof/>
            <w:webHidden/>
          </w:rPr>
          <w:instrText xml:space="preserve"> PAGEREF _Toc119072228 \h </w:instrText>
        </w:r>
        <w:r w:rsidR="008A3C56">
          <w:rPr>
            <w:noProof/>
            <w:webHidden/>
          </w:rPr>
        </w:r>
        <w:r w:rsidR="008A3C56">
          <w:rPr>
            <w:noProof/>
            <w:webHidden/>
          </w:rPr>
          <w:fldChar w:fldCharType="separate"/>
        </w:r>
        <w:r w:rsidR="008A3C56">
          <w:rPr>
            <w:noProof/>
            <w:webHidden/>
          </w:rPr>
          <w:t>48</w:t>
        </w:r>
        <w:r w:rsidR="008A3C56">
          <w:rPr>
            <w:noProof/>
            <w:webHidden/>
          </w:rPr>
          <w:fldChar w:fldCharType="end"/>
        </w:r>
      </w:hyperlink>
    </w:p>
    <w:p w14:paraId="3D95156F" w14:textId="4A325015" w:rsidR="008A3C56" w:rsidRDefault="00000000">
      <w:pPr>
        <w:pStyle w:val="TOC2"/>
        <w:rPr>
          <w:noProof/>
          <w:sz w:val="22"/>
          <w:szCs w:val="22"/>
          <w:shd w:val="clear" w:color="auto" w:fill="auto"/>
          <w:lang w:val="en-US"/>
        </w:rPr>
      </w:pPr>
      <w:hyperlink w:anchor="_Toc119072229" w:history="1">
        <w:r w:rsidR="008A3C56" w:rsidRPr="005367A6">
          <w:rPr>
            <w:rStyle w:val="Hyperlink"/>
            <w:noProof/>
          </w:rPr>
          <w:t>4.1.</w:t>
        </w:r>
        <w:r w:rsidR="008A3C56">
          <w:rPr>
            <w:noProof/>
            <w:sz w:val="22"/>
            <w:szCs w:val="22"/>
            <w:shd w:val="clear" w:color="auto" w:fill="auto"/>
            <w:lang w:val="en-US"/>
          </w:rPr>
          <w:tab/>
        </w:r>
        <w:r w:rsidR="008A3C56" w:rsidRPr="005367A6">
          <w:rPr>
            <w:rStyle w:val="Hyperlink"/>
            <w:noProof/>
          </w:rPr>
          <w:t>Sasniedzamie uzraudzības rādītāji</w:t>
        </w:r>
        <w:r w:rsidR="008A3C56">
          <w:rPr>
            <w:noProof/>
            <w:webHidden/>
          </w:rPr>
          <w:tab/>
        </w:r>
        <w:r w:rsidR="008A3C56">
          <w:rPr>
            <w:noProof/>
            <w:webHidden/>
          </w:rPr>
          <w:fldChar w:fldCharType="begin"/>
        </w:r>
        <w:r w:rsidR="008A3C56">
          <w:rPr>
            <w:noProof/>
            <w:webHidden/>
          </w:rPr>
          <w:instrText xml:space="preserve"> PAGEREF _Toc119072229 \h </w:instrText>
        </w:r>
        <w:r w:rsidR="008A3C56">
          <w:rPr>
            <w:noProof/>
            <w:webHidden/>
          </w:rPr>
        </w:r>
        <w:r w:rsidR="008A3C56">
          <w:rPr>
            <w:noProof/>
            <w:webHidden/>
          </w:rPr>
          <w:fldChar w:fldCharType="separate"/>
        </w:r>
        <w:r w:rsidR="008A3C56">
          <w:rPr>
            <w:noProof/>
            <w:webHidden/>
          </w:rPr>
          <w:t>48</w:t>
        </w:r>
        <w:r w:rsidR="008A3C56">
          <w:rPr>
            <w:noProof/>
            <w:webHidden/>
          </w:rPr>
          <w:fldChar w:fldCharType="end"/>
        </w:r>
      </w:hyperlink>
    </w:p>
    <w:p w14:paraId="1B6428A1" w14:textId="10BDF775" w:rsidR="008A3C56" w:rsidRDefault="00000000">
      <w:pPr>
        <w:pStyle w:val="TOC2"/>
        <w:rPr>
          <w:noProof/>
          <w:sz w:val="22"/>
          <w:szCs w:val="22"/>
          <w:shd w:val="clear" w:color="auto" w:fill="auto"/>
          <w:lang w:val="en-US"/>
        </w:rPr>
      </w:pPr>
      <w:hyperlink w:anchor="_Toc119072230" w:history="1">
        <w:r w:rsidR="008A3C56" w:rsidRPr="005367A6">
          <w:rPr>
            <w:rStyle w:val="Hyperlink"/>
            <w:noProof/>
          </w:rPr>
          <w:t>4.2.</w:t>
        </w:r>
        <w:r w:rsidR="008A3C56">
          <w:rPr>
            <w:noProof/>
            <w:sz w:val="22"/>
            <w:szCs w:val="22"/>
            <w:shd w:val="clear" w:color="auto" w:fill="auto"/>
            <w:lang w:val="en-US"/>
          </w:rPr>
          <w:tab/>
        </w:r>
        <w:r w:rsidR="008A3C56" w:rsidRPr="005367A6">
          <w:rPr>
            <w:rStyle w:val="Hyperlink"/>
            <w:noProof/>
          </w:rPr>
          <w:t>Stratēģija kā kompetences centrs sasniegs nodefinētos uzraudzības rādītājus</w:t>
        </w:r>
        <w:r w:rsidR="008A3C56">
          <w:rPr>
            <w:noProof/>
            <w:webHidden/>
          </w:rPr>
          <w:tab/>
        </w:r>
        <w:r w:rsidR="008A3C56">
          <w:rPr>
            <w:noProof/>
            <w:webHidden/>
          </w:rPr>
          <w:fldChar w:fldCharType="begin"/>
        </w:r>
        <w:r w:rsidR="008A3C56">
          <w:rPr>
            <w:noProof/>
            <w:webHidden/>
          </w:rPr>
          <w:instrText xml:space="preserve"> PAGEREF _Toc119072230 \h </w:instrText>
        </w:r>
        <w:r w:rsidR="008A3C56">
          <w:rPr>
            <w:noProof/>
            <w:webHidden/>
          </w:rPr>
        </w:r>
        <w:r w:rsidR="008A3C56">
          <w:rPr>
            <w:noProof/>
            <w:webHidden/>
          </w:rPr>
          <w:fldChar w:fldCharType="separate"/>
        </w:r>
        <w:r w:rsidR="008A3C56">
          <w:rPr>
            <w:noProof/>
            <w:webHidden/>
          </w:rPr>
          <w:t>50</w:t>
        </w:r>
        <w:r w:rsidR="008A3C56">
          <w:rPr>
            <w:noProof/>
            <w:webHidden/>
          </w:rPr>
          <w:fldChar w:fldCharType="end"/>
        </w:r>
      </w:hyperlink>
    </w:p>
    <w:p w14:paraId="6C777224" w14:textId="4DD00CB5" w:rsidR="008A3C56" w:rsidRDefault="00000000">
      <w:pPr>
        <w:pStyle w:val="TOC2"/>
        <w:rPr>
          <w:noProof/>
          <w:sz w:val="22"/>
          <w:szCs w:val="22"/>
          <w:shd w:val="clear" w:color="auto" w:fill="auto"/>
          <w:lang w:val="en-US"/>
        </w:rPr>
      </w:pPr>
      <w:hyperlink w:anchor="_Toc119072231" w:history="1">
        <w:r w:rsidR="008A3C56" w:rsidRPr="005367A6">
          <w:rPr>
            <w:rStyle w:val="Hyperlink"/>
            <w:noProof/>
          </w:rPr>
          <w:t>4.3.</w:t>
        </w:r>
        <w:r w:rsidR="008A3C56">
          <w:rPr>
            <w:noProof/>
            <w:sz w:val="22"/>
            <w:szCs w:val="22"/>
            <w:shd w:val="clear" w:color="auto" w:fill="auto"/>
            <w:lang w:val="en-US"/>
          </w:rPr>
          <w:tab/>
        </w:r>
        <w:r w:rsidR="008A3C56" w:rsidRPr="005367A6">
          <w:rPr>
            <w:rStyle w:val="Hyperlink"/>
            <w:noProof/>
          </w:rPr>
          <w:t>Kompetences centra ieguldījums Latvijas Viedās specializācijas stratēģijas rādītāju mērķu vērtību sasniegšanā</w:t>
        </w:r>
        <w:r w:rsidR="008A3C56">
          <w:rPr>
            <w:noProof/>
            <w:webHidden/>
          </w:rPr>
          <w:tab/>
        </w:r>
        <w:r w:rsidR="008A3C56">
          <w:rPr>
            <w:noProof/>
            <w:webHidden/>
          </w:rPr>
          <w:fldChar w:fldCharType="begin"/>
        </w:r>
        <w:r w:rsidR="008A3C56">
          <w:rPr>
            <w:noProof/>
            <w:webHidden/>
          </w:rPr>
          <w:instrText xml:space="preserve"> PAGEREF _Toc119072231 \h </w:instrText>
        </w:r>
        <w:r w:rsidR="008A3C56">
          <w:rPr>
            <w:noProof/>
            <w:webHidden/>
          </w:rPr>
        </w:r>
        <w:r w:rsidR="008A3C56">
          <w:rPr>
            <w:noProof/>
            <w:webHidden/>
          </w:rPr>
          <w:fldChar w:fldCharType="separate"/>
        </w:r>
        <w:r w:rsidR="008A3C56">
          <w:rPr>
            <w:noProof/>
            <w:webHidden/>
          </w:rPr>
          <w:t>53</w:t>
        </w:r>
        <w:r w:rsidR="008A3C56">
          <w:rPr>
            <w:noProof/>
            <w:webHidden/>
          </w:rPr>
          <w:fldChar w:fldCharType="end"/>
        </w:r>
      </w:hyperlink>
    </w:p>
    <w:p w14:paraId="3D62BE1F" w14:textId="5A1BA8EC" w:rsidR="008A3C56" w:rsidRDefault="00000000">
      <w:pPr>
        <w:pStyle w:val="TOC1"/>
        <w:rPr>
          <w:noProof/>
          <w:sz w:val="22"/>
          <w:szCs w:val="22"/>
          <w:shd w:val="clear" w:color="auto" w:fill="auto"/>
          <w:lang w:val="en-US"/>
        </w:rPr>
      </w:pPr>
      <w:hyperlink w:anchor="_Toc119072232" w:history="1">
        <w:r w:rsidR="008A3C56" w:rsidRPr="005367A6">
          <w:rPr>
            <w:rStyle w:val="Hyperlink"/>
            <w:noProof/>
          </w:rPr>
          <w:t>5.</w:t>
        </w:r>
        <w:r w:rsidR="008A3C56">
          <w:rPr>
            <w:noProof/>
            <w:sz w:val="22"/>
            <w:szCs w:val="22"/>
            <w:shd w:val="clear" w:color="auto" w:fill="auto"/>
            <w:lang w:val="en-US"/>
          </w:rPr>
          <w:tab/>
        </w:r>
        <w:r w:rsidR="008A3C56" w:rsidRPr="005367A6">
          <w:rPr>
            <w:rStyle w:val="Hyperlink"/>
            <w:noProof/>
          </w:rPr>
          <w:t>Risku analīze</w:t>
        </w:r>
        <w:r w:rsidR="008A3C56">
          <w:rPr>
            <w:noProof/>
            <w:webHidden/>
          </w:rPr>
          <w:tab/>
        </w:r>
        <w:r w:rsidR="008A3C56">
          <w:rPr>
            <w:noProof/>
            <w:webHidden/>
          </w:rPr>
          <w:fldChar w:fldCharType="begin"/>
        </w:r>
        <w:r w:rsidR="008A3C56">
          <w:rPr>
            <w:noProof/>
            <w:webHidden/>
          </w:rPr>
          <w:instrText xml:space="preserve"> PAGEREF _Toc119072232 \h </w:instrText>
        </w:r>
        <w:r w:rsidR="008A3C56">
          <w:rPr>
            <w:noProof/>
            <w:webHidden/>
          </w:rPr>
        </w:r>
        <w:r w:rsidR="008A3C56">
          <w:rPr>
            <w:noProof/>
            <w:webHidden/>
          </w:rPr>
          <w:fldChar w:fldCharType="separate"/>
        </w:r>
        <w:r w:rsidR="008A3C56">
          <w:rPr>
            <w:noProof/>
            <w:webHidden/>
          </w:rPr>
          <w:t>54</w:t>
        </w:r>
        <w:r w:rsidR="008A3C56">
          <w:rPr>
            <w:noProof/>
            <w:webHidden/>
          </w:rPr>
          <w:fldChar w:fldCharType="end"/>
        </w:r>
      </w:hyperlink>
    </w:p>
    <w:p w14:paraId="10248C99" w14:textId="696E4FC2" w:rsidR="008A3C56" w:rsidRDefault="00000000">
      <w:pPr>
        <w:pStyle w:val="TOC2"/>
        <w:rPr>
          <w:noProof/>
          <w:sz w:val="22"/>
          <w:szCs w:val="22"/>
          <w:shd w:val="clear" w:color="auto" w:fill="auto"/>
          <w:lang w:val="en-US"/>
        </w:rPr>
      </w:pPr>
      <w:hyperlink w:anchor="_Toc119072233" w:history="1">
        <w:r w:rsidR="008A3C56" w:rsidRPr="005367A6">
          <w:rPr>
            <w:rStyle w:val="Hyperlink"/>
            <w:rFonts w:eastAsiaTheme="minorHAnsi"/>
            <w:noProof/>
          </w:rPr>
          <w:t>5.1.</w:t>
        </w:r>
        <w:r w:rsidR="008A3C56">
          <w:rPr>
            <w:noProof/>
            <w:sz w:val="22"/>
            <w:szCs w:val="22"/>
            <w:shd w:val="clear" w:color="auto" w:fill="auto"/>
            <w:lang w:val="en-US"/>
          </w:rPr>
          <w:tab/>
        </w:r>
        <w:r w:rsidR="008A3C56" w:rsidRPr="005367A6">
          <w:rPr>
            <w:rStyle w:val="Hyperlink"/>
            <w:noProof/>
          </w:rPr>
          <w:t>Projekta risku izvērtējums</w:t>
        </w:r>
        <w:r w:rsidR="008A3C56">
          <w:rPr>
            <w:noProof/>
            <w:webHidden/>
          </w:rPr>
          <w:tab/>
        </w:r>
        <w:r w:rsidR="008A3C56">
          <w:rPr>
            <w:noProof/>
            <w:webHidden/>
          </w:rPr>
          <w:fldChar w:fldCharType="begin"/>
        </w:r>
        <w:r w:rsidR="008A3C56">
          <w:rPr>
            <w:noProof/>
            <w:webHidden/>
          </w:rPr>
          <w:instrText xml:space="preserve"> PAGEREF _Toc119072233 \h </w:instrText>
        </w:r>
        <w:r w:rsidR="008A3C56">
          <w:rPr>
            <w:noProof/>
            <w:webHidden/>
          </w:rPr>
        </w:r>
        <w:r w:rsidR="008A3C56">
          <w:rPr>
            <w:noProof/>
            <w:webHidden/>
          </w:rPr>
          <w:fldChar w:fldCharType="separate"/>
        </w:r>
        <w:r w:rsidR="008A3C56">
          <w:rPr>
            <w:noProof/>
            <w:webHidden/>
          </w:rPr>
          <w:t>56</w:t>
        </w:r>
        <w:r w:rsidR="008A3C56">
          <w:rPr>
            <w:noProof/>
            <w:webHidden/>
          </w:rPr>
          <w:fldChar w:fldCharType="end"/>
        </w:r>
      </w:hyperlink>
    </w:p>
    <w:p w14:paraId="65327B2F" w14:textId="73F3B2C5" w:rsidR="008A3C56" w:rsidRDefault="00000000">
      <w:pPr>
        <w:pStyle w:val="TOC1"/>
        <w:rPr>
          <w:noProof/>
          <w:sz w:val="22"/>
          <w:szCs w:val="22"/>
          <w:shd w:val="clear" w:color="auto" w:fill="auto"/>
          <w:lang w:val="en-US"/>
        </w:rPr>
      </w:pPr>
      <w:hyperlink w:anchor="_Toc119072234" w:history="1">
        <w:r w:rsidR="008A3C56" w:rsidRPr="005367A6">
          <w:rPr>
            <w:rStyle w:val="Hyperlink"/>
            <w:noProof/>
          </w:rPr>
          <w:t>6.</w:t>
        </w:r>
        <w:r w:rsidR="008A3C56">
          <w:rPr>
            <w:noProof/>
            <w:sz w:val="22"/>
            <w:szCs w:val="22"/>
            <w:shd w:val="clear" w:color="auto" w:fill="auto"/>
            <w:lang w:val="en-US"/>
          </w:rPr>
          <w:tab/>
        </w:r>
        <w:r w:rsidR="008A3C56" w:rsidRPr="005367A6">
          <w:rPr>
            <w:rStyle w:val="Hyperlink"/>
            <w:noProof/>
          </w:rPr>
          <w:t>Kompetences centra vīzija par ilgtspēju</w:t>
        </w:r>
        <w:r w:rsidR="008A3C56">
          <w:rPr>
            <w:noProof/>
            <w:webHidden/>
          </w:rPr>
          <w:tab/>
        </w:r>
        <w:r w:rsidR="008A3C56">
          <w:rPr>
            <w:noProof/>
            <w:webHidden/>
          </w:rPr>
          <w:fldChar w:fldCharType="begin"/>
        </w:r>
        <w:r w:rsidR="008A3C56">
          <w:rPr>
            <w:noProof/>
            <w:webHidden/>
          </w:rPr>
          <w:instrText xml:space="preserve"> PAGEREF _Toc119072234 \h </w:instrText>
        </w:r>
        <w:r w:rsidR="008A3C56">
          <w:rPr>
            <w:noProof/>
            <w:webHidden/>
          </w:rPr>
        </w:r>
        <w:r w:rsidR="008A3C56">
          <w:rPr>
            <w:noProof/>
            <w:webHidden/>
          </w:rPr>
          <w:fldChar w:fldCharType="separate"/>
        </w:r>
        <w:r w:rsidR="008A3C56">
          <w:rPr>
            <w:noProof/>
            <w:webHidden/>
          </w:rPr>
          <w:t>63</w:t>
        </w:r>
        <w:r w:rsidR="008A3C56">
          <w:rPr>
            <w:noProof/>
            <w:webHidden/>
          </w:rPr>
          <w:fldChar w:fldCharType="end"/>
        </w:r>
      </w:hyperlink>
    </w:p>
    <w:p w14:paraId="5CAC9D5A" w14:textId="367BC5DB" w:rsidR="008A3C56" w:rsidRDefault="00000000">
      <w:pPr>
        <w:pStyle w:val="TOC2"/>
        <w:rPr>
          <w:noProof/>
          <w:sz w:val="22"/>
          <w:szCs w:val="22"/>
          <w:shd w:val="clear" w:color="auto" w:fill="auto"/>
          <w:lang w:val="en-US"/>
        </w:rPr>
      </w:pPr>
      <w:hyperlink w:anchor="_Toc119072235" w:history="1">
        <w:r w:rsidR="008A3C56" w:rsidRPr="005367A6">
          <w:rPr>
            <w:rStyle w:val="Hyperlink"/>
            <w:noProof/>
          </w:rPr>
          <w:t>6.1.</w:t>
        </w:r>
        <w:r w:rsidR="008A3C56">
          <w:rPr>
            <w:noProof/>
            <w:sz w:val="22"/>
            <w:szCs w:val="22"/>
            <w:shd w:val="clear" w:color="auto" w:fill="auto"/>
            <w:lang w:val="en-US"/>
          </w:rPr>
          <w:tab/>
        </w:r>
        <w:r w:rsidR="008A3C56" w:rsidRPr="005367A6">
          <w:rPr>
            <w:rStyle w:val="Hyperlink"/>
            <w:noProof/>
          </w:rPr>
          <w:t>Kompetences centra vīzija par privātā līdzfinansējuma piesaisti</w:t>
        </w:r>
        <w:r w:rsidR="008A3C56">
          <w:rPr>
            <w:noProof/>
            <w:webHidden/>
          </w:rPr>
          <w:tab/>
        </w:r>
        <w:r w:rsidR="008A3C56">
          <w:rPr>
            <w:noProof/>
            <w:webHidden/>
          </w:rPr>
          <w:fldChar w:fldCharType="begin"/>
        </w:r>
        <w:r w:rsidR="008A3C56">
          <w:rPr>
            <w:noProof/>
            <w:webHidden/>
          </w:rPr>
          <w:instrText xml:space="preserve"> PAGEREF _Toc119072235 \h </w:instrText>
        </w:r>
        <w:r w:rsidR="008A3C56">
          <w:rPr>
            <w:noProof/>
            <w:webHidden/>
          </w:rPr>
        </w:r>
        <w:r w:rsidR="008A3C56">
          <w:rPr>
            <w:noProof/>
            <w:webHidden/>
          </w:rPr>
          <w:fldChar w:fldCharType="separate"/>
        </w:r>
        <w:r w:rsidR="008A3C56">
          <w:rPr>
            <w:noProof/>
            <w:webHidden/>
          </w:rPr>
          <w:t>65</w:t>
        </w:r>
        <w:r w:rsidR="008A3C56">
          <w:rPr>
            <w:noProof/>
            <w:webHidden/>
          </w:rPr>
          <w:fldChar w:fldCharType="end"/>
        </w:r>
      </w:hyperlink>
    </w:p>
    <w:p w14:paraId="651D7962" w14:textId="2E2F321B" w:rsidR="008A3C56" w:rsidRDefault="00000000">
      <w:pPr>
        <w:pStyle w:val="TOC1"/>
        <w:rPr>
          <w:noProof/>
          <w:sz w:val="22"/>
          <w:szCs w:val="22"/>
          <w:shd w:val="clear" w:color="auto" w:fill="auto"/>
          <w:lang w:val="en-US"/>
        </w:rPr>
      </w:pPr>
      <w:hyperlink w:anchor="_Toc119072236" w:history="1">
        <w:r w:rsidR="008A3C56" w:rsidRPr="005367A6">
          <w:rPr>
            <w:rStyle w:val="Hyperlink"/>
            <w:noProof/>
          </w:rPr>
          <w:t>7.</w:t>
        </w:r>
        <w:r w:rsidR="008A3C56">
          <w:rPr>
            <w:noProof/>
            <w:sz w:val="22"/>
            <w:szCs w:val="22"/>
            <w:shd w:val="clear" w:color="auto" w:fill="auto"/>
            <w:lang w:val="en-US"/>
          </w:rPr>
          <w:tab/>
        </w:r>
        <w:r w:rsidR="008A3C56" w:rsidRPr="005367A6">
          <w:rPr>
            <w:rStyle w:val="Hyperlink"/>
            <w:noProof/>
          </w:rPr>
          <w:t>Kompetences centrā atbalstāmo projektu atlases principi un kritēriji</w:t>
        </w:r>
        <w:r w:rsidR="008A3C56">
          <w:rPr>
            <w:noProof/>
            <w:webHidden/>
          </w:rPr>
          <w:tab/>
        </w:r>
        <w:r w:rsidR="008A3C56">
          <w:rPr>
            <w:noProof/>
            <w:webHidden/>
          </w:rPr>
          <w:fldChar w:fldCharType="begin"/>
        </w:r>
        <w:r w:rsidR="008A3C56">
          <w:rPr>
            <w:noProof/>
            <w:webHidden/>
          </w:rPr>
          <w:instrText xml:space="preserve"> PAGEREF _Toc119072236 \h </w:instrText>
        </w:r>
        <w:r w:rsidR="008A3C56">
          <w:rPr>
            <w:noProof/>
            <w:webHidden/>
          </w:rPr>
        </w:r>
        <w:r w:rsidR="008A3C56">
          <w:rPr>
            <w:noProof/>
            <w:webHidden/>
          </w:rPr>
          <w:fldChar w:fldCharType="separate"/>
        </w:r>
        <w:r w:rsidR="008A3C56">
          <w:rPr>
            <w:noProof/>
            <w:webHidden/>
          </w:rPr>
          <w:t>65</w:t>
        </w:r>
        <w:r w:rsidR="008A3C56">
          <w:rPr>
            <w:noProof/>
            <w:webHidden/>
          </w:rPr>
          <w:fldChar w:fldCharType="end"/>
        </w:r>
      </w:hyperlink>
    </w:p>
    <w:p w14:paraId="36C68FD3" w14:textId="71FB36ED" w:rsidR="008A3C56" w:rsidRDefault="00000000">
      <w:pPr>
        <w:pStyle w:val="TOC2"/>
        <w:rPr>
          <w:noProof/>
          <w:sz w:val="22"/>
          <w:szCs w:val="22"/>
          <w:shd w:val="clear" w:color="auto" w:fill="auto"/>
          <w:lang w:val="en-US"/>
        </w:rPr>
      </w:pPr>
      <w:hyperlink w:anchor="_Toc119072237" w:history="1">
        <w:r w:rsidR="008A3C56" w:rsidRPr="005367A6">
          <w:rPr>
            <w:rStyle w:val="Hyperlink"/>
            <w:noProof/>
          </w:rPr>
          <w:t>7.1.</w:t>
        </w:r>
        <w:r w:rsidR="008A3C56">
          <w:rPr>
            <w:noProof/>
            <w:sz w:val="22"/>
            <w:szCs w:val="22"/>
            <w:shd w:val="clear" w:color="auto" w:fill="auto"/>
            <w:lang w:val="en-US"/>
          </w:rPr>
          <w:tab/>
        </w:r>
        <w:r w:rsidR="008A3C56" w:rsidRPr="005367A6">
          <w:rPr>
            <w:rStyle w:val="Hyperlink"/>
            <w:noProof/>
          </w:rPr>
          <w:t>Kompetences centra institucionālā uzbūve</w:t>
        </w:r>
        <w:r w:rsidR="008A3C56">
          <w:rPr>
            <w:noProof/>
            <w:webHidden/>
          </w:rPr>
          <w:tab/>
        </w:r>
        <w:r w:rsidR="008A3C56">
          <w:rPr>
            <w:noProof/>
            <w:webHidden/>
          </w:rPr>
          <w:fldChar w:fldCharType="begin"/>
        </w:r>
        <w:r w:rsidR="008A3C56">
          <w:rPr>
            <w:noProof/>
            <w:webHidden/>
          </w:rPr>
          <w:instrText xml:space="preserve"> PAGEREF _Toc119072237 \h </w:instrText>
        </w:r>
        <w:r w:rsidR="008A3C56">
          <w:rPr>
            <w:noProof/>
            <w:webHidden/>
          </w:rPr>
        </w:r>
        <w:r w:rsidR="008A3C56">
          <w:rPr>
            <w:noProof/>
            <w:webHidden/>
          </w:rPr>
          <w:fldChar w:fldCharType="separate"/>
        </w:r>
        <w:r w:rsidR="008A3C56">
          <w:rPr>
            <w:noProof/>
            <w:webHidden/>
          </w:rPr>
          <w:t>65</w:t>
        </w:r>
        <w:r w:rsidR="008A3C56">
          <w:rPr>
            <w:noProof/>
            <w:webHidden/>
          </w:rPr>
          <w:fldChar w:fldCharType="end"/>
        </w:r>
      </w:hyperlink>
    </w:p>
    <w:p w14:paraId="7A8868B7" w14:textId="3B5854D2" w:rsidR="008A3C56" w:rsidRDefault="00000000">
      <w:pPr>
        <w:pStyle w:val="TOC2"/>
        <w:rPr>
          <w:noProof/>
          <w:sz w:val="22"/>
          <w:szCs w:val="22"/>
          <w:shd w:val="clear" w:color="auto" w:fill="auto"/>
          <w:lang w:val="en-US"/>
        </w:rPr>
      </w:pPr>
      <w:hyperlink w:anchor="_Toc119072238" w:history="1">
        <w:r w:rsidR="008A3C56" w:rsidRPr="005367A6">
          <w:rPr>
            <w:rStyle w:val="Hyperlink"/>
            <w:noProof/>
          </w:rPr>
          <w:t>7.2.</w:t>
        </w:r>
        <w:r w:rsidR="008A3C56">
          <w:rPr>
            <w:noProof/>
            <w:sz w:val="22"/>
            <w:szCs w:val="22"/>
            <w:shd w:val="clear" w:color="auto" w:fill="auto"/>
            <w:lang w:val="en-US"/>
          </w:rPr>
          <w:tab/>
        </w:r>
        <w:r w:rsidR="008A3C56" w:rsidRPr="005367A6">
          <w:rPr>
            <w:rStyle w:val="Hyperlink"/>
            <w:noProof/>
          </w:rPr>
          <w:t>Plānotais kompetences centra Projekta atlases padomes sēžu biežums.</w:t>
        </w:r>
        <w:r w:rsidR="008A3C56">
          <w:rPr>
            <w:noProof/>
            <w:webHidden/>
          </w:rPr>
          <w:tab/>
        </w:r>
        <w:r w:rsidR="008A3C56">
          <w:rPr>
            <w:noProof/>
            <w:webHidden/>
          </w:rPr>
          <w:fldChar w:fldCharType="begin"/>
        </w:r>
        <w:r w:rsidR="008A3C56">
          <w:rPr>
            <w:noProof/>
            <w:webHidden/>
          </w:rPr>
          <w:instrText xml:space="preserve"> PAGEREF _Toc119072238 \h </w:instrText>
        </w:r>
        <w:r w:rsidR="008A3C56">
          <w:rPr>
            <w:noProof/>
            <w:webHidden/>
          </w:rPr>
        </w:r>
        <w:r w:rsidR="008A3C56">
          <w:rPr>
            <w:noProof/>
            <w:webHidden/>
          </w:rPr>
          <w:fldChar w:fldCharType="separate"/>
        </w:r>
        <w:r w:rsidR="008A3C56">
          <w:rPr>
            <w:noProof/>
            <w:webHidden/>
          </w:rPr>
          <w:t>70</w:t>
        </w:r>
        <w:r w:rsidR="008A3C56">
          <w:rPr>
            <w:noProof/>
            <w:webHidden/>
          </w:rPr>
          <w:fldChar w:fldCharType="end"/>
        </w:r>
      </w:hyperlink>
    </w:p>
    <w:p w14:paraId="5E26373B" w14:textId="55A333A9" w:rsidR="008A3C56" w:rsidRDefault="00000000">
      <w:pPr>
        <w:pStyle w:val="TOC2"/>
        <w:rPr>
          <w:noProof/>
          <w:sz w:val="22"/>
          <w:szCs w:val="22"/>
          <w:shd w:val="clear" w:color="auto" w:fill="auto"/>
          <w:lang w:val="en-US"/>
        </w:rPr>
      </w:pPr>
      <w:hyperlink w:anchor="_Toc119072239" w:history="1">
        <w:r w:rsidR="008A3C56" w:rsidRPr="005367A6">
          <w:rPr>
            <w:rStyle w:val="Hyperlink"/>
            <w:noProof/>
          </w:rPr>
          <w:t>7.3.</w:t>
        </w:r>
        <w:r w:rsidR="008A3C56">
          <w:rPr>
            <w:noProof/>
            <w:sz w:val="22"/>
            <w:szCs w:val="22"/>
            <w:shd w:val="clear" w:color="auto" w:fill="auto"/>
            <w:lang w:val="en-US"/>
          </w:rPr>
          <w:tab/>
        </w:r>
        <w:r w:rsidR="008A3C56" w:rsidRPr="005367A6">
          <w:rPr>
            <w:rStyle w:val="Hyperlink"/>
            <w:noProof/>
          </w:rPr>
          <w:t>Projektu atlases principi</w:t>
        </w:r>
        <w:r w:rsidR="008A3C56">
          <w:rPr>
            <w:noProof/>
            <w:webHidden/>
          </w:rPr>
          <w:tab/>
        </w:r>
        <w:r w:rsidR="008A3C56">
          <w:rPr>
            <w:noProof/>
            <w:webHidden/>
          </w:rPr>
          <w:fldChar w:fldCharType="begin"/>
        </w:r>
        <w:r w:rsidR="008A3C56">
          <w:rPr>
            <w:noProof/>
            <w:webHidden/>
          </w:rPr>
          <w:instrText xml:space="preserve"> PAGEREF _Toc119072239 \h </w:instrText>
        </w:r>
        <w:r w:rsidR="008A3C56">
          <w:rPr>
            <w:noProof/>
            <w:webHidden/>
          </w:rPr>
        </w:r>
        <w:r w:rsidR="008A3C56">
          <w:rPr>
            <w:noProof/>
            <w:webHidden/>
          </w:rPr>
          <w:fldChar w:fldCharType="separate"/>
        </w:r>
        <w:r w:rsidR="008A3C56">
          <w:rPr>
            <w:noProof/>
            <w:webHidden/>
          </w:rPr>
          <w:t>71</w:t>
        </w:r>
        <w:r w:rsidR="008A3C56">
          <w:rPr>
            <w:noProof/>
            <w:webHidden/>
          </w:rPr>
          <w:fldChar w:fldCharType="end"/>
        </w:r>
      </w:hyperlink>
    </w:p>
    <w:p w14:paraId="7B21AAEC" w14:textId="4F611064" w:rsidR="008A3C56" w:rsidRDefault="00000000">
      <w:pPr>
        <w:pStyle w:val="TOC1"/>
        <w:rPr>
          <w:noProof/>
          <w:sz w:val="22"/>
          <w:szCs w:val="22"/>
          <w:shd w:val="clear" w:color="auto" w:fill="auto"/>
          <w:lang w:val="en-US"/>
        </w:rPr>
      </w:pPr>
      <w:hyperlink w:anchor="_Toc119072240" w:history="1">
        <w:r w:rsidR="008A3C56" w:rsidRPr="005367A6">
          <w:rPr>
            <w:rStyle w:val="Hyperlink"/>
            <w:noProof/>
          </w:rPr>
          <w:t>8.</w:t>
        </w:r>
        <w:r w:rsidR="008A3C56">
          <w:rPr>
            <w:noProof/>
            <w:sz w:val="22"/>
            <w:szCs w:val="22"/>
            <w:shd w:val="clear" w:color="auto" w:fill="auto"/>
            <w:lang w:val="en-US"/>
          </w:rPr>
          <w:tab/>
        </w:r>
        <w:r w:rsidR="008A3C56" w:rsidRPr="005367A6">
          <w:rPr>
            <w:rStyle w:val="Hyperlink"/>
            <w:noProof/>
          </w:rPr>
          <w:t>Cita būtiska informācija</w:t>
        </w:r>
        <w:r w:rsidR="008A3C56">
          <w:rPr>
            <w:noProof/>
            <w:webHidden/>
          </w:rPr>
          <w:tab/>
        </w:r>
        <w:r w:rsidR="008A3C56">
          <w:rPr>
            <w:noProof/>
            <w:webHidden/>
          </w:rPr>
          <w:fldChar w:fldCharType="begin"/>
        </w:r>
        <w:r w:rsidR="008A3C56">
          <w:rPr>
            <w:noProof/>
            <w:webHidden/>
          </w:rPr>
          <w:instrText xml:space="preserve"> PAGEREF _Toc119072240 \h </w:instrText>
        </w:r>
        <w:r w:rsidR="008A3C56">
          <w:rPr>
            <w:noProof/>
            <w:webHidden/>
          </w:rPr>
        </w:r>
        <w:r w:rsidR="008A3C56">
          <w:rPr>
            <w:noProof/>
            <w:webHidden/>
          </w:rPr>
          <w:fldChar w:fldCharType="separate"/>
        </w:r>
        <w:r w:rsidR="008A3C56">
          <w:rPr>
            <w:noProof/>
            <w:webHidden/>
          </w:rPr>
          <w:t>86</w:t>
        </w:r>
        <w:r w:rsidR="008A3C56">
          <w:rPr>
            <w:noProof/>
            <w:webHidden/>
          </w:rPr>
          <w:fldChar w:fldCharType="end"/>
        </w:r>
      </w:hyperlink>
    </w:p>
    <w:p w14:paraId="55A70D6E" w14:textId="449545F3" w:rsidR="008A3C56" w:rsidRDefault="00000000">
      <w:pPr>
        <w:pStyle w:val="TOC2"/>
        <w:rPr>
          <w:noProof/>
          <w:sz w:val="22"/>
          <w:szCs w:val="22"/>
          <w:shd w:val="clear" w:color="auto" w:fill="auto"/>
          <w:lang w:val="en-US"/>
        </w:rPr>
      </w:pPr>
      <w:hyperlink w:anchor="_Toc119072241" w:history="1">
        <w:r w:rsidR="008A3C56" w:rsidRPr="005367A6">
          <w:rPr>
            <w:rStyle w:val="Hyperlink"/>
            <w:noProof/>
          </w:rPr>
          <w:t>8.1.</w:t>
        </w:r>
        <w:r w:rsidR="008A3C56">
          <w:rPr>
            <w:noProof/>
            <w:sz w:val="22"/>
            <w:szCs w:val="22"/>
            <w:shd w:val="clear" w:color="auto" w:fill="auto"/>
            <w:lang w:val="en-US"/>
          </w:rPr>
          <w:tab/>
        </w:r>
        <w:r w:rsidR="008A3C56" w:rsidRPr="005367A6">
          <w:rPr>
            <w:rStyle w:val="Hyperlink"/>
            <w:noProof/>
          </w:rPr>
          <w:t>Kompetences centra darbības pašnovērtējums 2007.-2013.g. perioda programmas ietvaros, ja attiecināms</w:t>
        </w:r>
        <w:r w:rsidR="008A3C56">
          <w:rPr>
            <w:noProof/>
            <w:webHidden/>
          </w:rPr>
          <w:tab/>
        </w:r>
        <w:r w:rsidR="008A3C56">
          <w:rPr>
            <w:noProof/>
            <w:webHidden/>
          </w:rPr>
          <w:fldChar w:fldCharType="begin"/>
        </w:r>
        <w:r w:rsidR="008A3C56">
          <w:rPr>
            <w:noProof/>
            <w:webHidden/>
          </w:rPr>
          <w:instrText xml:space="preserve"> PAGEREF _Toc119072241 \h </w:instrText>
        </w:r>
        <w:r w:rsidR="008A3C56">
          <w:rPr>
            <w:noProof/>
            <w:webHidden/>
          </w:rPr>
        </w:r>
        <w:r w:rsidR="008A3C56">
          <w:rPr>
            <w:noProof/>
            <w:webHidden/>
          </w:rPr>
          <w:fldChar w:fldCharType="separate"/>
        </w:r>
        <w:r w:rsidR="008A3C56">
          <w:rPr>
            <w:noProof/>
            <w:webHidden/>
          </w:rPr>
          <w:t>86</w:t>
        </w:r>
        <w:r w:rsidR="008A3C56">
          <w:rPr>
            <w:noProof/>
            <w:webHidden/>
          </w:rPr>
          <w:fldChar w:fldCharType="end"/>
        </w:r>
      </w:hyperlink>
    </w:p>
    <w:p w14:paraId="04BB0BCF" w14:textId="09556E40" w:rsidR="008A3C56" w:rsidRDefault="00000000">
      <w:pPr>
        <w:pStyle w:val="TOC2"/>
        <w:rPr>
          <w:noProof/>
          <w:sz w:val="22"/>
          <w:szCs w:val="22"/>
          <w:shd w:val="clear" w:color="auto" w:fill="auto"/>
          <w:lang w:val="en-US"/>
        </w:rPr>
      </w:pPr>
      <w:hyperlink w:anchor="_Toc119072242" w:history="1">
        <w:r w:rsidR="008A3C56" w:rsidRPr="005367A6">
          <w:rPr>
            <w:rStyle w:val="Hyperlink"/>
            <w:noProof/>
          </w:rPr>
          <w:t>8.2.</w:t>
        </w:r>
        <w:r w:rsidR="008A3C56">
          <w:rPr>
            <w:noProof/>
            <w:sz w:val="22"/>
            <w:szCs w:val="22"/>
            <w:shd w:val="clear" w:color="auto" w:fill="auto"/>
            <w:lang w:val="en-US"/>
          </w:rPr>
          <w:tab/>
        </w:r>
        <w:r w:rsidR="008A3C56" w:rsidRPr="005367A6">
          <w:rPr>
            <w:rStyle w:val="Hyperlink"/>
            <w:noProof/>
          </w:rPr>
          <w:t>Kompetences centra darbības pašnovērtējums Eiropas Savienības struktūrfondu un Kohēzijas fonda 2014.-2020.g. plānošanas perioda programmas ietvaros</w:t>
        </w:r>
        <w:r w:rsidR="008A3C56">
          <w:rPr>
            <w:noProof/>
            <w:webHidden/>
          </w:rPr>
          <w:tab/>
        </w:r>
        <w:r w:rsidR="008A3C56">
          <w:rPr>
            <w:noProof/>
            <w:webHidden/>
          </w:rPr>
          <w:fldChar w:fldCharType="begin"/>
        </w:r>
        <w:r w:rsidR="008A3C56">
          <w:rPr>
            <w:noProof/>
            <w:webHidden/>
          </w:rPr>
          <w:instrText xml:space="preserve"> PAGEREF _Toc119072242 \h </w:instrText>
        </w:r>
        <w:r w:rsidR="008A3C56">
          <w:rPr>
            <w:noProof/>
            <w:webHidden/>
          </w:rPr>
        </w:r>
        <w:r w:rsidR="008A3C56">
          <w:rPr>
            <w:noProof/>
            <w:webHidden/>
          </w:rPr>
          <w:fldChar w:fldCharType="separate"/>
        </w:r>
        <w:r w:rsidR="008A3C56">
          <w:rPr>
            <w:noProof/>
            <w:webHidden/>
          </w:rPr>
          <w:t>88</w:t>
        </w:r>
        <w:r w:rsidR="008A3C56">
          <w:rPr>
            <w:noProof/>
            <w:webHidden/>
          </w:rPr>
          <w:fldChar w:fldCharType="end"/>
        </w:r>
      </w:hyperlink>
    </w:p>
    <w:p w14:paraId="16C0A552" w14:textId="1AD9813D" w:rsidR="008A3C56" w:rsidRDefault="00000000">
      <w:pPr>
        <w:pStyle w:val="TOC1"/>
        <w:rPr>
          <w:noProof/>
          <w:sz w:val="22"/>
          <w:szCs w:val="22"/>
          <w:shd w:val="clear" w:color="auto" w:fill="auto"/>
          <w:lang w:val="en-US"/>
        </w:rPr>
      </w:pPr>
      <w:hyperlink w:anchor="_Toc119072243" w:history="1">
        <w:r w:rsidR="008A3C56" w:rsidRPr="005367A6">
          <w:rPr>
            <w:rStyle w:val="Hyperlink"/>
            <w:noProof/>
          </w:rPr>
          <w:t>9.</w:t>
        </w:r>
        <w:r w:rsidR="008A3C56">
          <w:rPr>
            <w:noProof/>
            <w:sz w:val="22"/>
            <w:szCs w:val="22"/>
            <w:shd w:val="clear" w:color="auto" w:fill="auto"/>
            <w:lang w:val="en-US"/>
          </w:rPr>
          <w:tab/>
        </w:r>
        <w:r w:rsidR="008A3C56" w:rsidRPr="005367A6">
          <w:rPr>
            <w:rStyle w:val="Hyperlink"/>
            <w:noProof/>
          </w:rPr>
          <w:t>Darbības sadarbības uzsākšanai ar līdzīgām organizācijām</w:t>
        </w:r>
        <w:r w:rsidR="008A3C56">
          <w:rPr>
            <w:noProof/>
            <w:webHidden/>
          </w:rPr>
          <w:tab/>
        </w:r>
        <w:r w:rsidR="008A3C56">
          <w:rPr>
            <w:noProof/>
            <w:webHidden/>
          </w:rPr>
          <w:fldChar w:fldCharType="begin"/>
        </w:r>
        <w:r w:rsidR="008A3C56">
          <w:rPr>
            <w:noProof/>
            <w:webHidden/>
          </w:rPr>
          <w:instrText xml:space="preserve"> PAGEREF _Toc119072243 \h </w:instrText>
        </w:r>
        <w:r w:rsidR="008A3C56">
          <w:rPr>
            <w:noProof/>
            <w:webHidden/>
          </w:rPr>
        </w:r>
        <w:r w:rsidR="008A3C56">
          <w:rPr>
            <w:noProof/>
            <w:webHidden/>
          </w:rPr>
          <w:fldChar w:fldCharType="separate"/>
        </w:r>
        <w:r w:rsidR="008A3C56">
          <w:rPr>
            <w:noProof/>
            <w:webHidden/>
          </w:rPr>
          <w:t>89</w:t>
        </w:r>
        <w:r w:rsidR="008A3C56">
          <w:rPr>
            <w:noProof/>
            <w:webHidden/>
          </w:rPr>
          <w:fldChar w:fldCharType="end"/>
        </w:r>
      </w:hyperlink>
    </w:p>
    <w:p w14:paraId="7792F934" w14:textId="40AF3C75" w:rsidR="008A3C56" w:rsidRDefault="00000000">
      <w:pPr>
        <w:pStyle w:val="TOC1"/>
        <w:rPr>
          <w:noProof/>
          <w:sz w:val="22"/>
          <w:szCs w:val="22"/>
          <w:shd w:val="clear" w:color="auto" w:fill="auto"/>
          <w:lang w:val="en-US"/>
        </w:rPr>
      </w:pPr>
      <w:hyperlink w:anchor="_Toc119072244" w:history="1">
        <w:r w:rsidR="008A3C56" w:rsidRPr="005367A6">
          <w:rPr>
            <w:rStyle w:val="Hyperlink"/>
            <w:noProof/>
          </w:rPr>
          <w:t>10.</w:t>
        </w:r>
        <w:r w:rsidR="008A3C56">
          <w:rPr>
            <w:noProof/>
            <w:sz w:val="22"/>
            <w:szCs w:val="22"/>
            <w:shd w:val="clear" w:color="auto" w:fill="auto"/>
            <w:lang w:val="en-US"/>
          </w:rPr>
          <w:tab/>
        </w:r>
        <w:r w:rsidR="008A3C56" w:rsidRPr="005367A6">
          <w:rPr>
            <w:rStyle w:val="Hyperlink"/>
            <w:noProof/>
          </w:rPr>
          <w:t>Starpnozaru atbalstāmie virzieni</w:t>
        </w:r>
        <w:r w:rsidR="008A3C56">
          <w:rPr>
            <w:noProof/>
            <w:webHidden/>
          </w:rPr>
          <w:tab/>
        </w:r>
        <w:r w:rsidR="008A3C56">
          <w:rPr>
            <w:noProof/>
            <w:webHidden/>
          </w:rPr>
          <w:fldChar w:fldCharType="begin"/>
        </w:r>
        <w:r w:rsidR="008A3C56">
          <w:rPr>
            <w:noProof/>
            <w:webHidden/>
          </w:rPr>
          <w:instrText xml:space="preserve"> PAGEREF _Toc119072244 \h </w:instrText>
        </w:r>
        <w:r w:rsidR="008A3C56">
          <w:rPr>
            <w:noProof/>
            <w:webHidden/>
          </w:rPr>
        </w:r>
        <w:r w:rsidR="008A3C56">
          <w:rPr>
            <w:noProof/>
            <w:webHidden/>
          </w:rPr>
          <w:fldChar w:fldCharType="separate"/>
        </w:r>
        <w:r w:rsidR="008A3C56">
          <w:rPr>
            <w:noProof/>
            <w:webHidden/>
          </w:rPr>
          <w:t>91</w:t>
        </w:r>
        <w:r w:rsidR="008A3C56">
          <w:rPr>
            <w:noProof/>
            <w:webHidden/>
          </w:rPr>
          <w:fldChar w:fldCharType="end"/>
        </w:r>
      </w:hyperlink>
    </w:p>
    <w:p w14:paraId="5C6F257E" w14:textId="5143D1E2" w:rsidR="008A3C56" w:rsidRDefault="00000000">
      <w:pPr>
        <w:pStyle w:val="TOC2"/>
        <w:rPr>
          <w:noProof/>
          <w:sz w:val="22"/>
          <w:szCs w:val="22"/>
          <w:shd w:val="clear" w:color="auto" w:fill="auto"/>
          <w:lang w:val="en-US"/>
        </w:rPr>
      </w:pPr>
      <w:hyperlink w:anchor="_Toc119072245" w:history="1">
        <w:r w:rsidR="008A3C56" w:rsidRPr="005367A6">
          <w:rPr>
            <w:rStyle w:val="Hyperlink"/>
            <w:noProof/>
          </w:rPr>
          <w:t>10.1.</w:t>
        </w:r>
        <w:r w:rsidR="008A3C56">
          <w:rPr>
            <w:noProof/>
            <w:sz w:val="22"/>
            <w:szCs w:val="22"/>
            <w:shd w:val="clear" w:color="auto" w:fill="auto"/>
            <w:lang w:val="en-US"/>
          </w:rPr>
          <w:tab/>
        </w:r>
        <w:r w:rsidR="008A3C56" w:rsidRPr="005367A6">
          <w:rPr>
            <w:rStyle w:val="Hyperlink"/>
            <w:noProof/>
          </w:rPr>
          <w:t>Darbības plāns saimnieciskās darbības veicējiem starpnozaru pētījumu veikšanai</w:t>
        </w:r>
        <w:r w:rsidR="008A3C56">
          <w:rPr>
            <w:noProof/>
            <w:webHidden/>
          </w:rPr>
          <w:tab/>
        </w:r>
        <w:r w:rsidR="008A3C56">
          <w:rPr>
            <w:noProof/>
            <w:webHidden/>
          </w:rPr>
          <w:fldChar w:fldCharType="begin"/>
        </w:r>
        <w:r w:rsidR="008A3C56">
          <w:rPr>
            <w:noProof/>
            <w:webHidden/>
          </w:rPr>
          <w:instrText xml:space="preserve"> PAGEREF _Toc119072245 \h </w:instrText>
        </w:r>
        <w:r w:rsidR="008A3C56">
          <w:rPr>
            <w:noProof/>
            <w:webHidden/>
          </w:rPr>
        </w:r>
        <w:r w:rsidR="008A3C56">
          <w:rPr>
            <w:noProof/>
            <w:webHidden/>
          </w:rPr>
          <w:fldChar w:fldCharType="separate"/>
        </w:r>
        <w:r w:rsidR="008A3C56">
          <w:rPr>
            <w:noProof/>
            <w:webHidden/>
          </w:rPr>
          <w:t>92</w:t>
        </w:r>
        <w:r w:rsidR="008A3C56">
          <w:rPr>
            <w:noProof/>
            <w:webHidden/>
          </w:rPr>
          <w:fldChar w:fldCharType="end"/>
        </w:r>
      </w:hyperlink>
    </w:p>
    <w:p w14:paraId="2EFE384D" w14:textId="02D7FFAD" w:rsidR="008A3C56" w:rsidRDefault="00000000">
      <w:pPr>
        <w:pStyle w:val="TOC2"/>
        <w:rPr>
          <w:noProof/>
          <w:sz w:val="22"/>
          <w:szCs w:val="22"/>
          <w:shd w:val="clear" w:color="auto" w:fill="auto"/>
          <w:lang w:val="en-US"/>
        </w:rPr>
      </w:pPr>
      <w:hyperlink w:anchor="_Toc119072246" w:history="1">
        <w:r w:rsidR="008A3C56" w:rsidRPr="005367A6">
          <w:rPr>
            <w:rStyle w:val="Hyperlink"/>
            <w:noProof/>
          </w:rPr>
          <w:t>10.2.</w:t>
        </w:r>
        <w:r w:rsidR="008A3C56">
          <w:rPr>
            <w:noProof/>
            <w:sz w:val="22"/>
            <w:szCs w:val="22"/>
            <w:shd w:val="clear" w:color="auto" w:fill="auto"/>
            <w:lang w:val="en-US"/>
          </w:rPr>
          <w:tab/>
        </w:r>
        <w:r w:rsidR="008A3C56" w:rsidRPr="005367A6">
          <w:rPr>
            <w:rStyle w:val="Hyperlink"/>
            <w:noProof/>
          </w:rPr>
          <w:t>Starpnozaru projektu ietvari</w:t>
        </w:r>
        <w:r w:rsidR="008A3C56">
          <w:rPr>
            <w:noProof/>
            <w:webHidden/>
          </w:rPr>
          <w:tab/>
        </w:r>
        <w:r w:rsidR="008A3C56">
          <w:rPr>
            <w:noProof/>
            <w:webHidden/>
          </w:rPr>
          <w:fldChar w:fldCharType="begin"/>
        </w:r>
        <w:r w:rsidR="008A3C56">
          <w:rPr>
            <w:noProof/>
            <w:webHidden/>
          </w:rPr>
          <w:instrText xml:space="preserve"> PAGEREF _Toc119072246 \h </w:instrText>
        </w:r>
        <w:r w:rsidR="008A3C56">
          <w:rPr>
            <w:noProof/>
            <w:webHidden/>
          </w:rPr>
        </w:r>
        <w:r w:rsidR="008A3C56">
          <w:rPr>
            <w:noProof/>
            <w:webHidden/>
          </w:rPr>
          <w:fldChar w:fldCharType="separate"/>
        </w:r>
        <w:r w:rsidR="008A3C56">
          <w:rPr>
            <w:noProof/>
            <w:webHidden/>
          </w:rPr>
          <w:t>93</w:t>
        </w:r>
        <w:r w:rsidR="008A3C56">
          <w:rPr>
            <w:noProof/>
            <w:webHidden/>
          </w:rPr>
          <w:fldChar w:fldCharType="end"/>
        </w:r>
      </w:hyperlink>
    </w:p>
    <w:p w14:paraId="69C2C088" w14:textId="4D5B68CF" w:rsidR="008A3C56" w:rsidRDefault="00000000">
      <w:pPr>
        <w:pStyle w:val="TOC1"/>
        <w:rPr>
          <w:noProof/>
          <w:sz w:val="22"/>
          <w:szCs w:val="22"/>
          <w:shd w:val="clear" w:color="auto" w:fill="auto"/>
          <w:lang w:val="en-US"/>
        </w:rPr>
      </w:pPr>
      <w:hyperlink w:anchor="_Toc119072247" w:history="1">
        <w:r w:rsidR="008A3C56" w:rsidRPr="005367A6">
          <w:rPr>
            <w:rStyle w:val="Hyperlink"/>
            <w:noProof/>
          </w:rPr>
          <w:t>11.</w:t>
        </w:r>
        <w:r w:rsidR="008A3C56">
          <w:rPr>
            <w:noProof/>
            <w:sz w:val="22"/>
            <w:szCs w:val="22"/>
            <w:shd w:val="clear" w:color="auto" w:fill="auto"/>
            <w:lang w:val="en-US"/>
          </w:rPr>
          <w:tab/>
        </w:r>
        <w:r w:rsidR="008A3C56" w:rsidRPr="005367A6">
          <w:rPr>
            <w:rStyle w:val="Hyperlink"/>
            <w:noProof/>
          </w:rPr>
          <w:t>Pielikums: Pētnieciskajām organizācijām pieejamais inventārs</w:t>
        </w:r>
        <w:r w:rsidR="008A3C56">
          <w:rPr>
            <w:noProof/>
            <w:webHidden/>
          </w:rPr>
          <w:tab/>
        </w:r>
        <w:r w:rsidR="008A3C56">
          <w:rPr>
            <w:noProof/>
            <w:webHidden/>
          </w:rPr>
          <w:fldChar w:fldCharType="begin"/>
        </w:r>
        <w:r w:rsidR="008A3C56">
          <w:rPr>
            <w:noProof/>
            <w:webHidden/>
          </w:rPr>
          <w:instrText xml:space="preserve"> PAGEREF _Toc119072247 \h </w:instrText>
        </w:r>
        <w:r w:rsidR="008A3C56">
          <w:rPr>
            <w:noProof/>
            <w:webHidden/>
          </w:rPr>
        </w:r>
        <w:r w:rsidR="008A3C56">
          <w:rPr>
            <w:noProof/>
            <w:webHidden/>
          </w:rPr>
          <w:fldChar w:fldCharType="separate"/>
        </w:r>
        <w:r w:rsidR="008A3C56">
          <w:rPr>
            <w:noProof/>
            <w:webHidden/>
          </w:rPr>
          <w:t>95</w:t>
        </w:r>
        <w:r w:rsidR="008A3C56">
          <w:rPr>
            <w:noProof/>
            <w:webHidden/>
          </w:rPr>
          <w:fldChar w:fldCharType="end"/>
        </w:r>
      </w:hyperlink>
    </w:p>
    <w:p w14:paraId="6F610416" w14:textId="0AB4DCBD" w:rsidR="008A3C56" w:rsidRDefault="00000000">
      <w:pPr>
        <w:pStyle w:val="TOC2"/>
        <w:rPr>
          <w:noProof/>
          <w:sz w:val="22"/>
          <w:szCs w:val="22"/>
          <w:shd w:val="clear" w:color="auto" w:fill="auto"/>
          <w:lang w:val="en-US"/>
        </w:rPr>
      </w:pPr>
      <w:hyperlink w:anchor="_Toc119072248" w:history="1">
        <w:r w:rsidR="008A3C56" w:rsidRPr="005367A6">
          <w:rPr>
            <w:rStyle w:val="Hyperlink"/>
            <w:noProof/>
          </w:rPr>
          <w:t>11.1.</w:t>
        </w:r>
        <w:r w:rsidR="008A3C56">
          <w:rPr>
            <w:noProof/>
            <w:sz w:val="22"/>
            <w:szCs w:val="22"/>
            <w:shd w:val="clear" w:color="auto" w:fill="auto"/>
            <w:lang w:val="en-US"/>
          </w:rPr>
          <w:tab/>
        </w:r>
        <w:r w:rsidR="008A3C56" w:rsidRPr="005367A6">
          <w:rPr>
            <w:rStyle w:val="Hyperlink"/>
            <w:noProof/>
          </w:rPr>
          <w:t>Latvijā pieejamā pētniecības infrastruktūra zinātniskajās institūcijās</w:t>
        </w:r>
        <w:r w:rsidR="008A3C56">
          <w:rPr>
            <w:noProof/>
            <w:webHidden/>
          </w:rPr>
          <w:tab/>
        </w:r>
        <w:r w:rsidR="008A3C56">
          <w:rPr>
            <w:noProof/>
            <w:webHidden/>
          </w:rPr>
          <w:fldChar w:fldCharType="begin"/>
        </w:r>
        <w:r w:rsidR="008A3C56">
          <w:rPr>
            <w:noProof/>
            <w:webHidden/>
          </w:rPr>
          <w:instrText xml:space="preserve"> PAGEREF _Toc119072248 \h </w:instrText>
        </w:r>
        <w:r w:rsidR="008A3C56">
          <w:rPr>
            <w:noProof/>
            <w:webHidden/>
          </w:rPr>
        </w:r>
        <w:r w:rsidR="008A3C56">
          <w:rPr>
            <w:noProof/>
            <w:webHidden/>
          </w:rPr>
          <w:fldChar w:fldCharType="separate"/>
        </w:r>
        <w:r w:rsidR="008A3C56">
          <w:rPr>
            <w:noProof/>
            <w:webHidden/>
          </w:rPr>
          <w:t>97</w:t>
        </w:r>
        <w:r w:rsidR="008A3C56">
          <w:rPr>
            <w:noProof/>
            <w:webHidden/>
          </w:rPr>
          <w:fldChar w:fldCharType="end"/>
        </w:r>
      </w:hyperlink>
    </w:p>
    <w:p w14:paraId="56DF88AF" w14:textId="77E6A24C" w:rsidR="00DC4AAC" w:rsidRPr="00A01AC7" w:rsidRDefault="008E43B2" w:rsidP="007C6AB7">
      <w:pPr>
        <w:pStyle w:val="TOC2"/>
      </w:pPr>
      <w:r>
        <w:fldChar w:fldCharType="end"/>
      </w:r>
    </w:p>
    <w:p w14:paraId="588B7A96" w14:textId="77777777" w:rsidR="00DC4AAC" w:rsidRPr="003D6696" w:rsidRDefault="00DC4AAC" w:rsidP="00AA7AA5">
      <w:pPr>
        <w:pStyle w:val="Heading1"/>
        <w:numPr>
          <w:ilvl w:val="0"/>
          <w:numId w:val="0"/>
        </w:numPr>
        <w:ind w:left="431"/>
      </w:pPr>
      <w:bookmarkStart w:id="1" w:name="_Toc400456883"/>
      <w:bookmarkStart w:id="2" w:name="_Toc400468711"/>
      <w:bookmarkStart w:id="3" w:name="_Toc400470528"/>
      <w:bookmarkStart w:id="4" w:name="_Toc400470916"/>
      <w:bookmarkStart w:id="5" w:name="_Toc400516245"/>
      <w:bookmarkStart w:id="6" w:name="_Toc119072215"/>
      <w:r w:rsidRPr="003D6696">
        <w:lastRenderedPageBreak/>
        <w:t>Kopsavilkums</w:t>
      </w:r>
      <w:bookmarkEnd w:id="1"/>
      <w:bookmarkEnd w:id="2"/>
      <w:bookmarkEnd w:id="3"/>
      <w:bookmarkEnd w:id="4"/>
      <w:bookmarkEnd w:id="5"/>
      <w:bookmarkEnd w:id="6"/>
    </w:p>
    <w:p w14:paraId="3E85284E" w14:textId="672A2B70" w:rsidR="00556E92" w:rsidRDefault="00556E92" w:rsidP="00F91137">
      <w:r>
        <w:t xml:space="preserve">Stratēģija ir </w:t>
      </w:r>
      <w:r w:rsidR="0002711B">
        <w:t>vērsta</w:t>
      </w:r>
      <w:r>
        <w:t xml:space="preserve"> uz </w:t>
      </w:r>
      <w:r w:rsidR="0002711B">
        <w:t>inovācijās balstītu attīstību</w:t>
      </w:r>
      <w:r>
        <w:t xml:space="preserve"> un </w:t>
      </w:r>
      <w:r w:rsidR="0002711B">
        <w:t>tādu</w:t>
      </w:r>
      <w:r>
        <w:t xml:space="preserve"> vides</w:t>
      </w:r>
      <w:r w:rsidR="0002711B">
        <w:t xml:space="preserve"> un</w:t>
      </w:r>
      <w:r>
        <w:t xml:space="preserve"> nozares uzņēmumu koordinētu darbību</w:t>
      </w:r>
      <w:r w:rsidR="0002711B">
        <w:t xml:space="preserve"> un</w:t>
      </w:r>
      <w:r>
        <w:t xml:space="preserve"> valsts uzņēmējdarbības un nozaru politikas </w:t>
      </w:r>
      <w:r w:rsidR="0002711B">
        <w:t>aspektiem</w:t>
      </w:r>
      <w:r>
        <w:t xml:space="preserve">, kam ir tieša ietekme uz inovāciju rādītājiem. </w:t>
      </w:r>
      <w:r w:rsidR="0002711B">
        <w:t>Stratēģijā</w:t>
      </w:r>
      <w:r>
        <w:t xml:space="preserve"> tika identificētas kopīgas vajadzības, </w:t>
      </w:r>
      <w:r w:rsidR="0002711B">
        <w:t>problēmas</w:t>
      </w:r>
      <w:r>
        <w:t xml:space="preserve"> un mērķi, </w:t>
      </w:r>
      <w:r w:rsidR="0002711B">
        <w:t>attiecībā uz kuriem</w:t>
      </w:r>
      <w:r>
        <w:t xml:space="preserve"> koordinēta rīcība var būtiski veicināt uzņēmumu inovatīvas izaugsmes iespējas.</w:t>
      </w:r>
    </w:p>
    <w:p w14:paraId="15680298" w14:textId="1377F673" w:rsidR="00556E92" w:rsidRDefault="00556E92" w:rsidP="00F91137">
      <w:r>
        <w:t xml:space="preserve">Šīs stratēģijas kontekstā par inovācijām tiek uzskatītas </w:t>
      </w:r>
      <w:r w:rsidR="00890EDD">
        <w:t xml:space="preserve">izmantotas </w:t>
      </w:r>
      <w:r>
        <w:t xml:space="preserve">un </w:t>
      </w:r>
      <w:r w:rsidR="00890EDD">
        <w:t>uz kompetenci pamatotas</w:t>
      </w:r>
      <w:r>
        <w:t xml:space="preserve"> priekšrocības, kuras var balstīties jaunos produktos, pakalpojumos, darba organizācijas un mārketinga metodēs, zīmolos un dizainā.</w:t>
      </w:r>
    </w:p>
    <w:p w14:paraId="523834EB" w14:textId="4A24A973" w:rsidR="00DC4AAC" w:rsidRDefault="00DC4AAC" w:rsidP="00F91137">
      <w:r>
        <w:t xml:space="preserve">Stratēģijas uzdevums ir identificēt nozares uzņēmumu </w:t>
      </w:r>
      <w:r w:rsidR="00DB7240">
        <w:t xml:space="preserve">inovācijās balstītas </w:t>
      </w:r>
      <w:r>
        <w:t xml:space="preserve">attīstības vajadzības un iespējas, izaugsmes </w:t>
      </w:r>
      <w:r w:rsidR="00890EDD">
        <w:t>šķēršļus</w:t>
      </w:r>
      <w:r>
        <w:t xml:space="preserve"> un </w:t>
      </w:r>
      <w:r w:rsidR="00890EDD">
        <w:t>problēmas</w:t>
      </w:r>
      <w:r>
        <w:t xml:space="preserve"> un formulēt ietvaru un darbības, kuru rezultātā:</w:t>
      </w:r>
    </w:p>
    <w:p w14:paraId="515301F2" w14:textId="4A7E93EA" w:rsidR="00DC4AAC" w:rsidRDefault="00DC4AAC" w:rsidP="00C16D74">
      <w:pPr>
        <w:pStyle w:val="BulletsF"/>
      </w:pPr>
      <w:r>
        <w:t xml:space="preserve">uzlabotos </w:t>
      </w:r>
      <w:r w:rsidRPr="008A272D">
        <w:t>individuālo</w:t>
      </w:r>
      <w:r>
        <w:t xml:space="preserve"> </w:t>
      </w:r>
      <w:r w:rsidR="00F13E57" w:rsidRPr="00341024">
        <w:t>nozarē</w:t>
      </w:r>
      <w:r w:rsidR="00F13E57">
        <w:t xml:space="preserve"> </w:t>
      </w:r>
      <w:r w:rsidR="00890EDD">
        <w:t>darbojošos dalībnieku</w:t>
      </w:r>
      <w:r>
        <w:t xml:space="preserve"> izaugsmes iespējas</w:t>
      </w:r>
      <w:r w:rsidR="00F13E57">
        <w:t>;</w:t>
      </w:r>
      <w:r>
        <w:t xml:space="preserve"> </w:t>
      </w:r>
    </w:p>
    <w:p w14:paraId="787E944D" w14:textId="373F2C3A" w:rsidR="00DC4AAC" w:rsidRDefault="00DC4AAC" w:rsidP="00C16D74">
      <w:pPr>
        <w:pStyle w:val="BulletsF"/>
      </w:pPr>
      <w:r>
        <w:t xml:space="preserve">palielinātos augstas </w:t>
      </w:r>
      <w:r w:rsidR="00890EDD">
        <w:t>pievienotās</w:t>
      </w:r>
      <w:r>
        <w:t xml:space="preserve"> vērtības produktu īpatsvars</w:t>
      </w:r>
      <w:r w:rsidR="00F13E57">
        <w:t>;</w:t>
      </w:r>
      <w:r>
        <w:t xml:space="preserve"> </w:t>
      </w:r>
    </w:p>
    <w:p w14:paraId="2B0C43B0" w14:textId="7A9A8113" w:rsidR="00DC4AAC" w:rsidRDefault="00890EDD" w:rsidP="00C16D74">
      <w:pPr>
        <w:pStyle w:val="BulletsF"/>
      </w:pPr>
      <w:r>
        <w:t>paaugstinātos</w:t>
      </w:r>
      <w:r w:rsidR="00DC4AAC">
        <w:t xml:space="preserve"> produktivitāte</w:t>
      </w:r>
      <w:r w:rsidR="00F13E57">
        <w:t>;</w:t>
      </w:r>
    </w:p>
    <w:p w14:paraId="108D7834" w14:textId="1456B210" w:rsidR="00DC4AAC" w:rsidRDefault="00DC4AAC" w:rsidP="00C16D74">
      <w:pPr>
        <w:pStyle w:val="BulletsF"/>
      </w:pPr>
      <w:r>
        <w:t>palielinātos P&amp;A&amp;I ieguldījumi un inovatīvu uzņēmumu skaits</w:t>
      </w:r>
      <w:r w:rsidR="00F13E57">
        <w:t>;</w:t>
      </w:r>
    </w:p>
    <w:p w14:paraId="1E491E63" w14:textId="13E075A0" w:rsidR="00DC4AAC" w:rsidRDefault="00DC4AAC" w:rsidP="00C16D74">
      <w:pPr>
        <w:pStyle w:val="BulletsF"/>
      </w:pPr>
      <w:r>
        <w:t>palielinātos zināšanu ietilpīgu un augstāku tehnoloģiju produktu ražošanas apjoms</w:t>
      </w:r>
    </w:p>
    <w:p w14:paraId="761F77FB" w14:textId="12926112" w:rsidR="00DC4AAC" w:rsidRPr="00323A7B" w:rsidRDefault="00B221D5" w:rsidP="00F91137">
      <w:r>
        <w:t>Stratēģijā</w:t>
      </w:r>
      <w:r w:rsidR="00DC4AAC">
        <w:t xml:space="preserve"> </w:t>
      </w:r>
      <w:r>
        <w:t>izstrādes procesā</w:t>
      </w:r>
      <w:r w:rsidR="00DC4AAC">
        <w:t xml:space="preserve"> </w:t>
      </w:r>
      <w:r>
        <w:t xml:space="preserve">izšķiroša </w:t>
      </w:r>
      <w:r w:rsidR="00890EDD">
        <w:t xml:space="preserve">nozīme </w:t>
      </w:r>
      <w:r>
        <w:t xml:space="preserve">ir </w:t>
      </w:r>
      <w:r w:rsidR="00890EDD" w:rsidRPr="00F13E57">
        <w:t>nozarē</w:t>
      </w:r>
      <w:r w:rsidR="00890EDD">
        <w:t xml:space="preserve"> darbojošos dalībnieku</w:t>
      </w:r>
      <w:r w:rsidR="00DC4AAC">
        <w:t xml:space="preserve"> vīzija</w:t>
      </w:r>
      <w:r w:rsidR="00DB7240">
        <w:t>i</w:t>
      </w:r>
      <w:r w:rsidR="00DC4AAC">
        <w:t xml:space="preserve"> par nozares attīstību, </w:t>
      </w:r>
      <w:r>
        <w:t xml:space="preserve">kā arī </w:t>
      </w:r>
      <w:r w:rsidR="00890EDD">
        <w:t>to</w:t>
      </w:r>
      <w:r>
        <w:t xml:space="preserve"> izpratne</w:t>
      </w:r>
      <w:r w:rsidR="00DB7240">
        <w:t>i</w:t>
      </w:r>
      <w:r>
        <w:t xml:space="preserve"> par savu </w:t>
      </w:r>
      <w:r w:rsidR="00DC4AAC">
        <w:t xml:space="preserve">ieguldījumu šīs vīzijas </w:t>
      </w:r>
      <w:r w:rsidR="00890EDD">
        <w:t>īstenošanā</w:t>
      </w:r>
      <w:r w:rsidR="00DC4AAC">
        <w:t>.</w:t>
      </w:r>
    </w:p>
    <w:p w14:paraId="304AC4FB" w14:textId="7C93E556" w:rsidR="643B3E12" w:rsidRDefault="643B3E12" w:rsidP="00F91137">
      <w:r>
        <w:t xml:space="preserve">Latvijas Viedās </w:t>
      </w:r>
      <w:r w:rsidR="00DD2D6D">
        <w:t>specializācijas</w:t>
      </w:r>
      <w:r>
        <w:t xml:space="preserve"> kontekstā ķīmijas un farmācijas nozares stratēģija ir viena no industrijas iniciatīvām, </w:t>
      </w:r>
      <w:r w:rsidR="00B221D5">
        <w:t>kuras mērķis ir precizēt un attīstīt</w:t>
      </w:r>
      <w:r>
        <w:t xml:space="preserve"> Latvijas Viedās </w:t>
      </w:r>
      <w:r w:rsidR="00DD2D6D">
        <w:t>specializācijas</w:t>
      </w:r>
      <w:r>
        <w:t xml:space="preserve"> jomas. Dokumentā atspoguļotas pasaules tendences katrā no trim apakšnozarēm un analizētas to radītās iespējas.</w:t>
      </w:r>
    </w:p>
    <w:p w14:paraId="3F73A122" w14:textId="24B51E9E" w:rsidR="00DC4AAC" w:rsidRDefault="00DC4AAC" w:rsidP="00F91137">
      <w:r>
        <w:t xml:space="preserve">Nozares stratēģijas izstrādes ietvaros </w:t>
      </w:r>
      <w:r w:rsidR="00F13E57">
        <w:t xml:space="preserve">izdarīti </w:t>
      </w:r>
      <w:r>
        <w:t xml:space="preserve">galvenie </w:t>
      </w:r>
      <w:r w:rsidR="00DD2D6D">
        <w:t>turpmāk minētie</w:t>
      </w:r>
      <w:r>
        <w:t xml:space="preserve"> secinājumi</w:t>
      </w:r>
      <w:r w:rsidR="00DD2D6D">
        <w:t>.</w:t>
      </w:r>
    </w:p>
    <w:p w14:paraId="51F967EC" w14:textId="00A866ED" w:rsidR="00B221D5" w:rsidRDefault="00627968" w:rsidP="00C16D74">
      <w:pPr>
        <w:pStyle w:val="BulletsF"/>
      </w:pPr>
      <w:r w:rsidRPr="00627968">
        <w:rPr>
          <w:b/>
        </w:rPr>
        <w:t>Nozare ir ļoti heterogēna</w:t>
      </w:r>
      <w:r>
        <w:t>.</w:t>
      </w:r>
      <w:r w:rsidR="00B221D5">
        <w:t xml:space="preserve"> Latvijas uzņēmumi ir šauri specializējušies dažādās un ļoti atšķirīgās nišās, </w:t>
      </w:r>
      <w:r w:rsidR="00DD2D6D">
        <w:t>pamatojas</w:t>
      </w:r>
      <w:r w:rsidR="00B221D5">
        <w:t xml:space="preserve"> uz atšķirīgiem </w:t>
      </w:r>
      <w:r w:rsidR="00DD2D6D">
        <w:t>uzņēmējdarbības</w:t>
      </w:r>
      <w:r w:rsidR="00B221D5">
        <w:t xml:space="preserve"> modeļiem</w:t>
      </w:r>
      <w:r w:rsidR="00D60556">
        <w:t>, tāpēc</w:t>
      </w:r>
      <w:r w:rsidR="00B221D5">
        <w:t xml:space="preserve"> </w:t>
      </w:r>
      <w:r w:rsidR="00D60556">
        <w:t>n</w:t>
      </w:r>
      <w:r w:rsidR="00A056BE">
        <w:t>ozare</w:t>
      </w:r>
      <w:r w:rsidR="00D60556">
        <w:t>s uzņēmumiem Latvijā ir ierobežotas iespējas</w:t>
      </w:r>
      <w:r w:rsidR="00A056BE">
        <w:t xml:space="preserve"> </w:t>
      </w:r>
      <w:r w:rsidR="00D60556">
        <w:t xml:space="preserve">izvirzīt </w:t>
      </w:r>
      <w:r w:rsidR="00A056BE">
        <w:t>kopīgus</w:t>
      </w:r>
      <w:r w:rsidR="00F13E57">
        <w:t xml:space="preserve"> un</w:t>
      </w:r>
      <w:r w:rsidR="00A056BE">
        <w:t xml:space="preserve"> specifiskus šaurās tehnoloģijās vai produktos balstītus izaicinājumus. </w:t>
      </w:r>
      <w:r w:rsidR="00F13E57">
        <w:t>Visi</w:t>
      </w:r>
      <w:r w:rsidR="00A056BE">
        <w:t xml:space="preserve"> industrijai kopīgās attīstības </w:t>
      </w:r>
      <w:r w:rsidR="00DD2D6D">
        <w:t>šķēršļi</w:t>
      </w:r>
      <w:r w:rsidR="00A056BE">
        <w:t xml:space="preserve"> un </w:t>
      </w:r>
      <w:r w:rsidR="00DD2D6D">
        <w:t>problēmas</w:t>
      </w:r>
      <w:r w:rsidR="00F13E57">
        <w:t xml:space="preserve"> galvenokārt</w:t>
      </w:r>
      <w:r w:rsidR="00A056BE">
        <w:t xml:space="preserve"> ir </w:t>
      </w:r>
      <w:r w:rsidR="00DD2D6D">
        <w:t>horizontālas</w:t>
      </w:r>
      <w:r w:rsidR="00A056BE">
        <w:t xml:space="preserve"> vai </w:t>
      </w:r>
      <w:r w:rsidR="00DD2D6D">
        <w:t>balstītas</w:t>
      </w:r>
      <w:r w:rsidR="00A056BE">
        <w:t xml:space="preserve"> vispārīgajās tehnoloģijās un kompetencēs</w:t>
      </w:r>
      <w:r w:rsidR="00DD2D6D">
        <w:t>.</w:t>
      </w:r>
    </w:p>
    <w:p w14:paraId="6814A904" w14:textId="25DEE282" w:rsidR="00DC4AAC" w:rsidRDefault="00627968" w:rsidP="00C16D74">
      <w:pPr>
        <w:pStyle w:val="BulletsF"/>
      </w:pPr>
      <w:r w:rsidRPr="00627968">
        <w:rPr>
          <w:b/>
        </w:rPr>
        <w:t>Nelieli uzņēmumi lielā industrijā.</w:t>
      </w:r>
      <w:r>
        <w:t xml:space="preserve"> </w:t>
      </w:r>
      <w:r w:rsidR="00DC4AAC">
        <w:t xml:space="preserve">Latvijas nozares uzņēmumi </w:t>
      </w:r>
      <w:r w:rsidR="00DD2D6D">
        <w:t>pārstāv</w:t>
      </w:r>
      <w:r w:rsidR="00DC4AAC">
        <w:t xml:space="preserve"> ārkārtīgi </w:t>
      </w:r>
      <w:r w:rsidR="00DD2D6D">
        <w:t>mazu</w:t>
      </w:r>
      <w:r w:rsidR="00DC4AAC">
        <w:t xml:space="preserve"> tirgus </w:t>
      </w:r>
      <w:r w:rsidR="00DD2D6D">
        <w:t>daļu</w:t>
      </w:r>
      <w:r w:rsidR="00DC4AAC">
        <w:t xml:space="preserve"> vienā no pasaulē lielākajiem sektoriem</w:t>
      </w:r>
      <w:r w:rsidR="00C617F7">
        <w:t>. Latvijas uzņēmumu ieņemtās nišas pasaules industrijas attīstības tendences ietekmē daudz mazāk nekā lielos starptautiskos uzņ</w:t>
      </w:r>
      <w:r w:rsidR="00A056BE">
        <w:t>ēmumus. Atsevišķiem uzņēmumiem ir palielināta ekspozīcija Krievijas tirgū un ar to saistītos tirgos, ka</w:t>
      </w:r>
      <w:r w:rsidR="00CB3578">
        <w:t>s</w:t>
      </w:r>
      <w:r w:rsidR="00A056BE">
        <w:t xml:space="preserve"> uzskatāma par būtisku </w:t>
      </w:r>
      <w:r w:rsidR="00CB3578">
        <w:t xml:space="preserve">to finansiālās stabilitātes </w:t>
      </w:r>
      <w:r w:rsidR="00A056BE">
        <w:t>apdraudējumu</w:t>
      </w:r>
      <w:r w:rsidR="00DD2D6D">
        <w:t>.</w:t>
      </w:r>
    </w:p>
    <w:p w14:paraId="7BA4E7F3" w14:textId="0283D228" w:rsidR="00DC4AAC" w:rsidRDefault="00DC4AAC" w:rsidP="00C16D74">
      <w:pPr>
        <w:pStyle w:val="BulletsF"/>
      </w:pPr>
      <w:r w:rsidRPr="00627968">
        <w:rPr>
          <w:b/>
        </w:rPr>
        <w:t>Industrija ir iesaistīta starptautiskās piegādes ķēdēs</w:t>
      </w:r>
      <w:r w:rsidR="007C6AB7">
        <w:t>.</w:t>
      </w:r>
      <w:r w:rsidR="00C617F7">
        <w:t xml:space="preserve"> </w:t>
      </w:r>
      <w:r w:rsidR="007C6AB7">
        <w:t>K</w:t>
      </w:r>
      <w:r w:rsidR="00C617F7">
        <w:t>atram uzņēmumam piegādes ķēdēs iesaistoties individuāli</w:t>
      </w:r>
      <w:r>
        <w:t xml:space="preserve">. Piegādes ķēžu attīstība Latvijā ir vāja, </w:t>
      </w:r>
      <w:r w:rsidR="00DD2D6D">
        <w:t xml:space="preserve">proti, </w:t>
      </w:r>
      <w:r>
        <w:t xml:space="preserve">ķēdes, </w:t>
      </w:r>
      <w:r w:rsidR="00C617F7">
        <w:t xml:space="preserve">ja </w:t>
      </w:r>
      <w:r w:rsidR="00DD2D6D">
        <w:t>tās pastāv</w:t>
      </w:r>
      <w:r w:rsidR="00C617F7">
        <w:t>, ir seklas un šauras. Nav pamatoti gaidīt Latvijā bāzētu dziļu piegādes ķēžu attīstību. Ticamāk</w:t>
      </w:r>
      <w:r w:rsidR="00D60556">
        <w:t xml:space="preserve">, ka uzņēmumi turpinās </w:t>
      </w:r>
      <w:r w:rsidR="00C617F7">
        <w:t>individuāl</w:t>
      </w:r>
      <w:r w:rsidR="00D60556">
        <w:t>i</w:t>
      </w:r>
      <w:r w:rsidR="00C617F7">
        <w:t xml:space="preserve"> integrē</w:t>
      </w:r>
      <w:r w:rsidR="00D60556">
        <w:t>ties</w:t>
      </w:r>
      <w:r w:rsidR="00C617F7">
        <w:t xml:space="preserve"> starptautiskās piegādes ķēdēs vai arī </w:t>
      </w:r>
      <w:r w:rsidR="00D60556">
        <w:t xml:space="preserve">turpinās veidot </w:t>
      </w:r>
      <w:r w:rsidR="00D60556" w:rsidRPr="00CE6EF5">
        <w:rPr>
          <w:i/>
        </w:rPr>
        <w:t>ad-hoc</w:t>
      </w:r>
      <w:r w:rsidR="00D60556">
        <w:t xml:space="preserve"> sadarbību jaunatklātās, </w:t>
      </w:r>
      <w:r w:rsidR="00C617F7">
        <w:t>šaurās konkrētu uzņēmumu specializācijas jomās</w:t>
      </w:r>
      <w:r w:rsidR="00CB3578">
        <w:t>. Šāda scenārija īstenošanās notiek bez aktīvas valsts iejaukšanās</w:t>
      </w:r>
      <w:r w:rsidR="00F13E57">
        <w:t>,</w:t>
      </w:r>
      <w:r w:rsidR="00CB3578">
        <w:t xml:space="preserve"> saglabājoties pašreizējiem tirgus nosacījumiem (atvērta ekonomika, dalība ES</w:t>
      </w:r>
      <w:r w:rsidR="00DD2D6D">
        <w:t>).</w:t>
      </w:r>
    </w:p>
    <w:p w14:paraId="00634BE5" w14:textId="05E1FEDA" w:rsidR="00DC4AAC" w:rsidRDefault="00D60556" w:rsidP="00C16D74">
      <w:pPr>
        <w:pStyle w:val="BulletsF"/>
      </w:pPr>
      <w:r>
        <w:rPr>
          <w:b/>
        </w:rPr>
        <w:t>Ķīmijas n</w:t>
      </w:r>
      <w:r w:rsidR="557754A5" w:rsidRPr="00627968">
        <w:rPr>
          <w:b/>
        </w:rPr>
        <w:t>ozares kritisko masu veido 20 lielākie nozares komersanti</w:t>
      </w:r>
      <w:r w:rsidR="557754A5">
        <w:t>, ap kuriem var veidoties mazāku uzņēmumu puduri</w:t>
      </w:r>
      <w:r w:rsidR="00C617F7">
        <w:t xml:space="preserve">, pamatā izmantojot zināšanu </w:t>
      </w:r>
      <w:r w:rsidR="00F13E57">
        <w:t>nodošanu</w:t>
      </w:r>
      <w:r w:rsidR="00C617F7">
        <w:t>, darbinieku kompetences un</w:t>
      </w:r>
      <w:r w:rsidR="00DD2D6D">
        <w:t>/</w:t>
      </w:r>
      <w:r w:rsidR="00A056BE">
        <w:t>vai veidojot sadarbības modeļus šauri specializētās jomās</w:t>
      </w:r>
      <w:r>
        <w:t xml:space="preserve">. Nozare analīzē </w:t>
      </w:r>
      <w:r>
        <w:lastRenderedPageBreak/>
        <w:t>sadalīta 4 atsevišķos sektoros, no kuriem</w:t>
      </w:r>
      <w:r w:rsidR="00DD2D6D">
        <w:t>,</w:t>
      </w:r>
      <w:r>
        <w:t xml:space="preserve"> piemēram</w:t>
      </w:r>
      <w:r w:rsidR="00DD2D6D">
        <w:t>,</w:t>
      </w:r>
      <w:r>
        <w:t xml:space="preserve"> </w:t>
      </w:r>
      <w:r w:rsidR="00DD2D6D">
        <w:t>farmācijā</w:t>
      </w:r>
      <w:r>
        <w:t xml:space="preserve"> 85</w:t>
      </w:r>
      <w:r w:rsidR="00A51E60">
        <w:t> </w:t>
      </w:r>
      <w:r>
        <w:t xml:space="preserve">% no nozares veido </w:t>
      </w:r>
      <w:r w:rsidR="00F13E57">
        <w:t>divi</w:t>
      </w:r>
      <w:r>
        <w:t xml:space="preserve"> uzņēmumi</w:t>
      </w:r>
      <w:r w:rsidR="00DD2D6D">
        <w:t>.</w:t>
      </w:r>
    </w:p>
    <w:p w14:paraId="7C6331FB" w14:textId="06EF7DDB" w:rsidR="000530E4" w:rsidRDefault="00627968" w:rsidP="00C16D74">
      <w:pPr>
        <w:pStyle w:val="BulletsF"/>
      </w:pPr>
      <w:r w:rsidRPr="00627968">
        <w:rPr>
          <w:b/>
        </w:rPr>
        <w:t>Nākotnes attīstība ir nišu produkti globālā tirgū</w:t>
      </w:r>
      <w:r>
        <w:rPr>
          <w:b/>
        </w:rPr>
        <w:t>.</w:t>
      </w:r>
      <w:r>
        <w:t xml:space="preserve"> Uzņēmumu līdzšinējā pieredze ir tos sagatavojusi </w:t>
      </w:r>
      <w:r w:rsidR="00D60556">
        <w:t xml:space="preserve">funkcionālu </w:t>
      </w:r>
      <w:r>
        <w:t>nišu identificēšanai un nišu produktu attīstīšanai</w:t>
      </w:r>
      <w:r w:rsidR="00435762">
        <w:t xml:space="preserve">. </w:t>
      </w:r>
      <w:r w:rsidR="00D60556">
        <w:t xml:space="preserve">Ķīmijas nozares specifika </w:t>
      </w:r>
      <w:r w:rsidR="00F13E57">
        <w:t>ļauj īstenot</w:t>
      </w:r>
      <w:r w:rsidR="00D60556">
        <w:t xml:space="preserve"> a</w:t>
      </w:r>
      <w:r w:rsidR="00435762">
        <w:t>pjomu palielināšan</w:t>
      </w:r>
      <w:r w:rsidR="00D60556">
        <w:t>u uz ģeogrāfiskā mēroga rēķina</w:t>
      </w:r>
      <w:r w:rsidR="00CB3578">
        <w:t xml:space="preserve">, vienlaikus saglabājot šauru fokusu uz šaurām </w:t>
      </w:r>
      <w:r w:rsidR="00D60556">
        <w:t xml:space="preserve">funkcionālām </w:t>
      </w:r>
      <w:r w:rsidR="00CB3578">
        <w:t>nišām</w:t>
      </w:r>
      <w:r w:rsidR="002243EB">
        <w:t>. Ir</w:t>
      </w:r>
      <w:r w:rsidR="00435762">
        <w:t xml:space="preserve"> nepieciešama efektīvāka ģeogrāfiski plašāka tirgus aptveršana</w:t>
      </w:r>
      <w:r w:rsidR="00D60556">
        <w:t>. Izņemot atsevišķus būvmateriālu nozares segmentus, citu ķīmijas sektoru produktiem ģeogrāfiskie piegādes ierobežojumi nav nozīmīgi</w:t>
      </w:r>
      <w:r w:rsidR="002243EB">
        <w:t>.</w:t>
      </w:r>
    </w:p>
    <w:p w14:paraId="04816752" w14:textId="45D7C326" w:rsidR="000F6D02" w:rsidRDefault="00435762" w:rsidP="00C16D74">
      <w:pPr>
        <w:pStyle w:val="BulletsF"/>
      </w:pPr>
      <w:r w:rsidRPr="00435762">
        <w:rPr>
          <w:b/>
        </w:rPr>
        <w:t>Kritiskās masas problēma.</w:t>
      </w:r>
      <w:r w:rsidR="00CB3578">
        <w:rPr>
          <w:b/>
        </w:rPr>
        <w:t xml:space="preserve"> </w:t>
      </w:r>
      <w:r w:rsidR="00CB3578">
        <w:t xml:space="preserve">Latvijas iedzīvotāju </w:t>
      </w:r>
      <w:r w:rsidR="00F13E57">
        <w:t xml:space="preserve">nelielais </w:t>
      </w:r>
      <w:r w:rsidR="00CB3578">
        <w:t xml:space="preserve">skaits un </w:t>
      </w:r>
      <w:r w:rsidR="00F13E57">
        <w:t>mazais</w:t>
      </w:r>
      <w:r w:rsidR="00CB3578">
        <w:t xml:space="preserve"> vietējais tirgus ir būtisks šķērslis kritiskās masas radīšanai gan ražošanā</w:t>
      </w:r>
      <w:r w:rsidR="002243EB">
        <w:t>,</w:t>
      </w:r>
      <w:r w:rsidR="00CB3578">
        <w:t xml:space="preserve"> gan </w:t>
      </w:r>
      <w:r w:rsidR="002243EB">
        <w:t xml:space="preserve">attiecībā uz </w:t>
      </w:r>
      <w:r w:rsidR="00CB3578">
        <w:t xml:space="preserve">speciālistu </w:t>
      </w:r>
      <w:r w:rsidR="002243EB">
        <w:t>skaitu</w:t>
      </w:r>
      <w:r w:rsidR="00CB3578">
        <w:t xml:space="preserve"> un </w:t>
      </w:r>
      <w:r w:rsidR="002243EB">
        <w:t>koncentrāciju</w:t>
      </w:r>
      <w:r w:rsidR="00CB3578">
        <w:t xml:space="preserve">. </w:t>
      </w:r>
      <w:r>
        <w:t>K</w:t>
      </w:r>
      <w:r w:rsidR="000F6D02">
        <w:t xml:space="preserve">ritiskās masas problēma </w:t>
      </w:r>
      <w:r>
        <w:t xml:space="preserve">konstatējama </w:t>
      </w:r>
      <w:r w:rsidR="000F6D02">
        <w:t xml:space="preserve">gan </w:t>
      </w:r>
      <w:r w:rsidR="002243EB">
        <w:t>saistībā ar</w:t>
      </w:r>
      <w:r w:rsidR="000F6D02">
        <w:t xml:space="preserve"> iekšējā tirgus izmēru, gan arī citos, piemēram, ar izglītību saistītos aspektos. </w:t>
      </w:r>
      <w:r w:rsidR="00CB3578">
        <w:t>Kritisko masu kritiskajos aspektos ir iespējams sasniegt</w:t>
      </w:r>
      <w:r w:rsidR="00F13E57">
        <w:t>,</w:t>
      </w:r>
      <w:r w:rsidR="00CB3578">
        <w:t xml:space="preserve"> tikai koncentrējot līdzekļu</w:t>
      </w:r>
      <w:r w:rsidR="00F13E57">
        <w:t>s</w:t>
      </w:r>
      <w:r w:rsidR="000F6D02">
        <w:t xml:space="preserve"> un resursu</w:t>
      </w:r>
      <w:r w:rsidR="00CB3578">
        <w:t>s</w:t>
      </w:r>
      <w:r w:rsidR="000F6D02">
        <w:t xml:space="preserve">, </w:t>
      </w:r>
      <w:r w:rsidR="00CB3578">
        <w:t>internacionalizējot izglītību un zinātni un fokusējoties uz starptautiskajiem tirgiem</w:t>
      </w:r>
      <w:r w:rsidR="000F6D02">
        <w:t>.</w:t>
      </w:r>
    </w:p>
    <w:p w14:paraId="73655D53" w14:textId="77777777" w:rsidR="000530E4" w:rsidRDefault="00A056BE" w:rsidP="00F91137">
      <w:r>
        <w:t xml:space="preserve">Industrijas </w:t>
      </w:r>
      <w:r w:rsidR="000530E4">
        <w:t xml:space="preserve">galvenie </w:t>
      </w:r>
      <w:r>
        <w:t>izaicin</w:t>
      </w:r>
      <w:r w:rsidR="000530E4">
        <w:t>ājumi:</w:t>
      </w:r>
    </w:p>
    <w:p w14:paraId="12BA1D42" w14:textId="46BEB3B5" w:rsidR="000530E4" w:rsidRDefault="007C6AB7" w:rsidP="00C16D74">
      <w:pPr>
        <w:pStyle w:val="BulletsF"/>
      </w:pPr>
      <w:r>
        <w:rPr>
          <w:b/>
        </w:rPr>
        <w:t>audzēt</w:t>
      </w:r>
      <w:r w:rsidR="000530E4" w:rsidRPr="00435762">
        <w:rPr>
          <w:b/>
        </w:rPr>
        <w:t xml:space="preserve"> inovāciju apjomu</w:t>
      </w:r>
      <w:r w:rsidR="00435762">
        <w:rPr>
          <w:b/>
        </w:rPr>
        <w:t>,</w:t>
      </w:r>
      <w:r w:rsidR="000530E4">
        <w:t xml:space="preserve"> palielinot nišu produktu </w:t>
      </w:r>
      <w:r w:rsidR="009D0A8B">
        <w:t>pievienoto vērtību</w:t>
      </w:r>
      <w:r w:rsidR="000530E4">
        <w:t xml:space="preserve">, </w:t>
      </w:r>
      <w:r w:rsidR="00AF0B2E">
        <w:t>pārorientējoties</w:t>
      </w:r>
      <w:r w:rsidR="000530E4">
        <w:t xml:space="preserve"> uz </w:t>
      </w:r>
      <w:r w:rsidR="009D0A8B">
        <w:t xml:space="preserve">tehnoloģiski sarežģītākiem </w:t>
      </w:r>
      <w:r w:rsidR="000530E4">
        <w:t>produktiem;</w:t>
      </w:r>
    </w:p>
    <w:p w14:paraId="09013A3B" w14:textId="6A4867AE" w:rsidR="00DC4AAC" w:rsidRDefault="002243EB" w:rsidP="00C16D74">
      <w:pPr>
        <w:pStyle w:val="BulletsF"/>
      </w:pPr>
      <w:r>
        <w:rPr>
          <w:b/>
        </w:rPr>
        <w:t>e</w:t>
      </w:r>
      <w:r w:rsidRPr="00435762">
        <w:rPr>
          <w:b/>
        </w:rPr>
        <w:t>fektīvāk</w:t>
      </w:r>
      <w:r w:rsidR="00435762" w:rsidRPr="00435762">
        <w:rPr>
          <w:b/>
        </w:rPr>
        <w:t xml:space="preserve"> aptvert plašākus tirgus</w:t>
      </w:r>
      <w:r>
        <w:rPr>
          <w:b/>
        </w:rPr>
        <w:t>,</w:t>
      </w:r>
      <w:r w:rsidR="00435762">
        <w:t xml:space="preserve"> i</w:t>
      </w:r>
      <w:r w:rsidR="00A056BE">
        <w:t>zman</w:t>
      </w:r>
      <w:r w:rsidR="00435762">
        <w:t>tojot</w:t>
      </w:r>
      <w:r w:rsidR="00A056BE">
        <w:t xml:space="preserve"> globaliz</w:t>
      </w:r>
      <w:r w:rsidR="000530E4">
        <w:t>āciju</w:t>
      </w:r>
      <w:r w:rsidR="00A056BE">
        <w:t xml:space="preserve"> </w:t>
      </w:r>
      <w:r w:rsidR="00AF0B2E">
        <w:t>un</w:t>
      </w:r>
      <w:r w:rsidR="00A056BE">
        <w:t xml:space="preserve"> </w:t>
      </w:r>
      <w:r w:rsidR="000530E4">
        <w:t>inovatīv</w:t>
      </w:r>
      <w:r w:rsidR="00AF0B2E">
        <w:t>us</w:t>
      </w:r>
      <w:r w:rsidR="000530E4">
        <w:t xml:space="preserve"> </w:t>
      </w:r>
      <w:r w:rsidR="00A056BE">
        <w:t xml:space="preserve">nišu </w:t>
      </w:r>
      <w:r w:rsidR="00AF0B2E">
        <w:t>produktus</w:t>
      </w:r>
      <w:r w:rsidR="000530E4">
        <w:t xml:space="preserve">, </w:t>
      </w:r>
      <w:r>
        <w:t>tādējādi</w:t>
      </w:r>
      <w:r w:rsidR="000530E4">
        <w:t xml:space="preserve"> būtiski kāpinot apjomus</w:t>
      </w:r>
      <w:r w:rsidR="00435762">
        <w:t>, paliekot specializētās nišās</w:t>
      </w:r>
      <w:r w:rsidR="009D0A8B">
        <w:t>;</w:t>
      </w:r>
    </w:p>
    <w:p w14:paraId="0F23A754" w14:textId="74BF4042" w:rsidR="009D0A8B" w:rsidRDefault="002243EB" w:rsidP="00C16D74">
      <w:pPr>
        <w:pStyle w:val="BulletsF"/>
      </w:pPr>
      <w:r>
        <w:t>s</w:t>
      </w:r>
      <w:r w:rsidRPr="00435762">
        <w:t>amazināt</w:t>
      </w:r>
      <w:r w:rsidR="009D0A8B" w:rsidRPr="00435762">
        <w:t xml:space="preserve"> atsevišķu ķīmijas nozares s</w:t>
      </w:r>
      <w:r w:rsidR="00863114">
        <w:t xml:space="preserve">ektoru lielāko uzņēmumu </w:t>
      </w:r>
      <w:r>
        <w:t>pakļaušanu</w:t>
      </w:r>
      <w:r w:rsidR="00863114">
        <w:t xml:space="preserve"> ģeopolitiskiem riskiem</w:t>
      </w:r>
      <w:r w:rsidR="009D0A8B">
        <w:t>, diversificējot un uzlabojot produktu portfeli</w:t>
      </w:r>
      <w:r w:rsidR="007C6AB7">
        <w:t xml:space="preserve">, </w:t>
      </w:r>
      <w:r w:rsidR="009D0A8B">
        <w:t xml:space="preserve">paplašinot noieta </w:t>
      </w:r>
      <w:r w:rsidR="00863114">
        <w:t>ģeogrāfiju</w:t>
      </w:r>
      <w:r w:rsidR="000F6D02">
        <w:t>.</w:t>
      </w:r>
    </w:p>
    <w:p w14:paraId="65D6F657" w14:textId="512DBBE1" w:rsidR="00B504B8" w:rsidRDefault="009D0A8B" w:rsidP="00F91137">
      <w:r>
        <w:t>Industrija</w:t>
      </w:r>
      <w:r w:rsidR="00AF0B2E">
        <w:t>s</w:t>
      </w:r>
      <w:r>
        <w:t xml:space="preserve"> </w:t>
      </w:r>
      <w:r w:rsidR="00DB7240">
        <w:t xml:space="preserve">attīstība </w:t>
      </w:r>
      <w:r w:rsidR="00AF0B2E">
        <w:t xml:space="preserve">ir </w:t>
      </w:r>
      <w:r w:rsidR="00DB7240">
        <w:t>saistīta</w:t>
      </w:r>
      <w:r>
        <w:t xml:space="preserve"> </w:t>
      </w:r>
      <w:r w:rsidR="00DB7240">
        <w:t xml:space="preserve">ar </w:t>
      </w:r>
      <w:r>
        <w:t>pastiprin</w:t>
      </w:r>
      <w:r w:rsidR="00DB7240">
        <w:t xml:space="preserve">ātu </w:t>
      </w:r>
      <w:r w:rsidR="002243EB">
        <w:t>pievēršanos</w:t>
      </w:r>
      <w:r>
        <w:t xml:space="preserve"> inovācij</w:t>
      </w:r>
      <w:r w:rsidR="00DB7240">
        <w:t>ām</w:t>
      </w:r>
      <w:r>
        <w:t xml:space="preserve">, </w:t>
      </w:r>
      <w:r w:rsidR="002243EB">
        <w:t>tostarp</w:t>
      </w:r>
      <w:r>
        <w:t xml:space="preserve"> P&amp;A&amp;I izdevumu </w:t>
      </w:r>
      <w:r w:rsidR="002243EB">
        <w:t>apjomam</w:t>
      </w:r>
      <w:r>
        <w:t xml:space="preserve">, </w:t>
      </w:r>
      <w:r w:rsidR="00DB7240">
        <w:t>neatkarīgi no valsts atbalsta esamības. Tomēr</w:t>
      </w:r>
      <w:r w:rsidR="002243EB">
        <w:t>,</w:t>
      </w:r>
      <w:r w:rsidR="00DB7240">
        <w:t xml:space="preserve"> valstij</w:t>
      </w:r>
      <w:r>
        <w:t xml:space="preserve"> samazin</w:t>
      </w:r>
      <w:r w:rsidR="00DB7240">
        <w:t>ot</w:t>
      </w:r>
      <w:r>
        <w:t xml:space="preserve"> galvenās nozares inovatīvās attīstības </w:t>
      </w:r>
      <w:r w:rsidR="002243EB">
        <w:t>šķēršļus</w:t>
      </w:r>
      <w:r w:rsidR="00DB7240">
        <w:t>, inovāciju apjoms</w:t>
      </w:r>
      <w:r w:rsidR="00AF0B2E">
        <w:t xml:space="preserve"> un</w:t>
      </w:r>
      <w:r w:rsidR="00DB7240">
        <w:t xml:space="preserve"> P&amp;A&amp;I izdevumu apjoms būtiski palielinātos</w:t>
      </w:r>
      <w:r>
        <w:t xml:space="preserve">. </w:t>
      </w:r>
      <w:r w:rsidR="00603F8A">
        <w:t>Ņemot vērā, ka u</w:t>
      </w:r>
      <w:r w:rsidR="00B504B8">
        <w:t xml:space="preserve">zņēmumi orientējas uz tādiem ieguldījumiem P&amp;A&amp;I, kuru labumi ir izmantojami uzņēmumu ietvaros, </w:t>
      </w:r>
      <w:r w:rsidR="00603F8A">
        <w:t xml:space="preserve">tie </w:t>
      </w:r>
      <w:r w:rsidR="00B504B8">
        <w:t>sagaida, ka valsts sniegs atbalstu tajos investīciju veidos</w:t>
      </w:r>
      <w:r w:rsidR="00603F8A">
        <w:t xml:space="preserve">, </w:t>
      </w:r>
      <w:r w:rsidR="00AF0B2E">
        <w:t>tostarp</w:t>
      </w:r>
      <w:r w:rsidR="00603F8A">
        <w:t xml:space="preserve"> jaunu produktu un tehnoloģiju izstrādē</w:t>
      </w:r>
      <w:r w:rsidR="00B504B8">
        <w:t>, kur</w:t>
      </w:r>
      <w:r w:rsidR="002243EB">
        <w:t>u</w:t>
      </w:r>
      <w:r w:rsidR="00B504B8">
        <w:t xml:space="preserve"> </w:t>
      </w:r>
      <w:r w:rsidR="002243EB">
        <w:t>iznākumā</w:t>
      </w:r>
      <w:r w:rsidR="00B504B8">
        <w:t xml:space="preserve"> pamatā ir publiskais labums</w:t>
      </w:r>
      <w:r w:rsidR="00603F8A">
        <w:t>. T.</w:t>
      </w:r>
      <w:r w:rsidR="002243EB">
        <w:t> </w:t>
      </w:r>
      <w:r w:rsidR="00603F8A">
        <w:t>i.</w:t>
      </w:r>
      <w:r w:rsidR="002243EB">
        <w:t>,</w:t>
      </w:r>
      <w:r w:rsidR="00603F8A">
        <w:t xml:space="preserve"> tajos projektos, kuros investīciju rezultātu ir grūti </w:t>
      </w:r>
      <w:r w:rsidR="00603F8A" w:rsidRPr="00603F8A">
        <w:rPr>
          <w:i/>
        </w:rPr>
        <w:t>paturēt un</w:t>
      </w:r>
      <w:r w:rsidR="00603F8A">
        <w:t xml:space="preserve"> </w:t>
      </w:r>
      <w:r w:rsidR="00603F8A" w:rsidRPr="00603F8A">
        <w:rPr>
          <w:i/>
        </w:rPr>
        <w:t>apgūt</w:t>
      </w:r>
      <w:r w:rsidR="00603F8A">
        <w:t xml:space="preserve"> to uzņēmumu ietvaros, </w:t>
      </w:r>
      <w:r w:rsidR="002243EB">
        <w:t xml:space="preserve">kas </w:t>
      </w:r>
      <w:r w:rsidR="00603F8A">
        <w:t>vei</w:t>
      </w:r>
      <w:r w:rsidR="002243EB">
        <w:t>kuši</w:t>
      </w:r>
      <w:r w:rsidR="00603F8A">
        <w:t xml:space="preserve"> investīcijas.</w:t>
      </w:r>
    </w:p>
    <w:p w14:paraId="02B5439F" w14:textId="1B5D34DF" w:rsidR="000F6D02" w:rsidRDefault="001218F5" w:rsidP="00F91137">
      <w:r>
        <w:t>Nozare</w:t>
      </w:r>
      <w:r w:rsidR="000F6D02">
        <w:t xml:space="preserve"> ir gatava veikt savu ieguldījumu publiskā labuma veidošanā</w:t>
      </w:r>
      <w:r w:rsidR="002243EB">
        <w:t>,</w:t>
      </w:r>
      <w:r w:rsidR="000F6D02">
        <w:t xml:space="preserve"> piedaloties izvēļu izdarīšanā tajos jautājumos, kur nepieciešama resursu koncentrācija, deleģējot savus labākos speciālistus līdzdalībai publisko P&amp;A&amp;I projektu un investīciju izvērtēšanai, tai skaitā deleģējot savus ekspertus līdzdalībai šīs stratēģijas un nepieciešamo pasākumu formulēšanā.</w:t>
      </w:r>
    </w:p>
    <w:p w14:paraId="7EEFE055" w14:textId="3F2CA46D" w:rsidR="009D0A8B" w:rsidRDefault="002243EB" w:rsidP="00F91137">
      <w:r>
        <w:t>Stratēģijā</w:t>
      </w:r>
      <w:r w:rsidR="00B504B8">
        <w:t xml:space="preserve"> konstatēti vairāki būtiski šķēršļi inovāciju attīstībai. </w:t>
      </w:r>
      <w:r w:rsidR="00DB7240">
        <w:t xml:space="preserve">Galvenie šķēršļi inovāciju attīstībai ir horizontāla rakstura. </w:t>
      </w:r>
      <w:r w:rsidR="00B504B8">
        <w:t xml:space="preserve">Ņemot vērā, ka </w:t>
      </w:r>
      <w:r w:rsidR="00603F8A">
        <w:t>galveno</w:t>
      </w:r>
      <w:r w:rsidR="00B504B8">
        <w:t xml:space="preserve"> inovāciju šķēršļu novēršanai nepieciešams </w:t>
      </w:r>
      <w:r>
        <w:t>ievērojams</w:t>
      </w:r>
      <w:r w:rsidR="00B504B8">
        <w:t xml:space="preserve"> laiks, </w:t>
      </w:r>
      <w:r w:rsidR="00AF0B2E">
        <w:t>tas</w:t>
      </w:r>
      <w:r w:rsidR="00B504B8">
        <w:t xml:space="preserve"> ietekmēs inovāciju attīstību ilgtermiņā. Pasākumi vidēja un īstermiņa inovatīvas attīstības sekmēšanai ir būtiski, tomēr ar mazāku ietekmi </w:t>
      </w:r>
      <w:r w:rsidR="00AF0B2E">
        <w:t>uz</w:t>
      </w:r>
      <w:r w:rsidR="00B504B8">
        <w:t xml:space="preserve"> nozares </w:t>
      </w:r>
      <w:r w:rsidR="00603F8A">
        <w:t xml:space="preserve">uzņēmumu </w:t>
      </w:r>
      <w:r w:rsidR="00B504B8">
        <w:t xml:space="preserve">lēmumiem </w:t>
      </w:r>
      <w:r w:rsidR="00603F8A">
        <w:t xml:space="preserve">attiecībā uz inovācijām un </w:t>
      </w:r>
      <w:r w:rsidR="00B504B8">
        <w:t xml:space="preserve">P&amp;A&amp;I investīcijām. </w:t>
      </w:r>
    </w:p>
    <w:p w14:paraId="0D24CC15" w14:textId="77777777" w:rsidR="009C3762" w:rsidRDefault="009C3762" w:rsidP="00F91137">
      <w:pPr>
        <w:pStyle w:val="Chart"/>
      </w:pPr>
      <w:r>
        <w:lastRenderedPageBreak/>
        <w:drawing>
          <wp:inline distT="0" distB="0" distL="0" distR="0" wp14:anchorId="7C2F6B77" wp14:editId="423ABC00">
            <wp:extent cx="4610100" cy="4114800"/>
            <wp:effectExtent l="57150" t="19050" r="95250" b="57150"/>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inline>
        </w:drawing>
      </w:r>
    </w:p>
    <w:p w14:paraId="2773BFC9" w14:textId="7D982645" w:rsidR="00DC4AAC" w:rsidRDefault="00767E1E" w:rsidP="00C16D74">
      <w:pPr>
        <w:pStyle w:val="BulletsF"/>
      </w:pPr>
      <w:r>
        <w:t>Galvenie</w:t>
      </w:r>
      <w:r w:rsidR="00DB7240">
        <w:t xml:space="preserve"> inovatīvas attīstības </w:t>
      </w:r>
      <w:r>
        <w:t>šķēršļi</w:t>
      </w:r>
      <w:r w:rsidR="009C3762">
        <w:t xml:space="preserve"> </w:t>
      </w:r>
      <w:r w:rsidR="00DB7240">
        <w:t xml:space="preserve">ir </w:t>
      </w:r>
      <w:r w:rsidR="00AF0B2E">
        <w:t>turpmāk minētie</w:t>
      </w:r>
      <w:r>
        <w:t>.</w:t>
      </w:r>
    </w:p>
    <w:p w14:paraId="1E9158A4" w14:textId="3D86F3B3" w:rsidR="00DC4AAC" w:rsidRDefault="00DC4AAC" w:rsidP="00C16D74">
      <w:pPr>
        <w:pStyle w:val="2LBulletsF"/>
      </w:pPr>
      <w:r w:rsidRPr="004A2D22">
        <w:rPr>
          <w:b/>
        </w:rPr>
        <w:t>Kvalificētu cilvēkresursu trūkums</w:t>
      </w:r>
      <w:r>
        <w:t xml:space="preserve"> visās speciālistu kategorijās, kas saistītas ar ķīmijas no</w:t>
      </w:r>
      <w:r w:rsidR="000530E4">
        <w:t xml:space="preserve">zari un saistītajām nozarēm, gan </w:t>
      </w:r>
      <w:r w:rsidR="00AF0B2E">
        <w:t xml:space="preserve">attiecībā uz </w:t>
      </w:r>
      <w:r w:rsidR="000530E4">
        <w:t>kvantitāt</w:t>
      </w:r>
      <w:r w:rsidR="00AF0B2E">
        <w:t>i</w:t>
      </w:r>
      <w:r w:rsidR="000530E4">
        <w:t xml:space="preserve">, gan </w:t>
      </w:r>
      <w:r w:rsidR="00AF0B2E">
        <w:t>kvalitāti</w:t>
      </w:r>
      <w:r w:rsidR="000530E4">
        <w:t xml:space="preserve">. </w:t>
      </w:r>
      <w:r>
        <w:t>Esošo speciālistu sagatavošanas ir vāja, jo speciālisti netiek sagatavoti</w:t>
      </w:r>
      <w:r w:rsidR="00AF0B2E">
        <w:t xml:space="preserve"> darbam</w:t>
      </w:r>
      <w:r w:rsidR="000530E4">
        <w:t xml:space="preserve"> ar mūsdienu tehnoloģijām</w:t>
      </w:r>
      <w:r w:rsidR="00612803">
        <w:t xml:space="preserve">. </w:t>
      </w:r>
      <w:r w:rsidR="004A2D22">
        <w:t>Trūkst studentu kritiskās masas atsevišķās specialitātēs, lai attaisnotu pietiekamas investīcijas un radītu augstas kvalitātes speciālistus</w:t>
      </w:r>
      <w:r w:rsidR="00370A8B">
        <w:t>.</w:t>
      </w:r>
    </w:p>
    <w:p w14:paraId="49023E28" w14:textId="7D3FFCDB" w:rsidR="00DC4AAC" w:rsidRDefault="00DC4AAC" w:rsidP="00C16D74">
      <w:pPr>
        <w:pStyle w:val="2LBulletsF"/>
      </w:pPr>
      <w:r w:rsidRPr="004A2D22">
        <w:t xml:space="preserve">Industrijas vajadzības apmierinošu P&amp;A&amp;I </w:t>
      </w:r>
      <w:r w:rsidRPr="007C6AB7">
        <w:rPr>
          <w:b/>
        </w:rPr>
        <w:t>pakalpojumu un infrastruktūras trūkums</w:t>
      </w:r>
      <w:r>
        <w:t xml:space="preserve"> gan pakalpojumu piedāvājumu jomā, gan pieejamo iekārtu jomā</w:t>
      </w:r>
      <w:r w:rsidR="00370A8B">
        <w:t>.</w:t>
      </w:r>
    </w:p>
    <w:p w14:paraId="76174F4F" w14:textId="1962143C" w:rsidR="00DC4AAC" w:rsidRDefault="00DC4AAC" w:rsidP="00C16D74">
      <w:pPr>
        <w:pStyle w:val="2LBulletsF"/>
      </w:pPr>
      <w:r w:rsidRPr="004A2D22">
        <w:rPr>
          <w:b/>
        </w:rPr>
        <w:t>Mazs iekšējais tirgus</w:t>
      </w:r>
      <w:r>
        <w:t xml:space="preserve">, </w:t>
      </w:r>
      <w:r w:rsidR="007C6AB7">
        <w:t xml:space="preserve">t.sk. </w:t>
      </w:r>
      <w:r>
        <w:t>ierobežotas iespējas pārbaudīt jaunos produktus reālos tirgos</w:t>
      </w:r>
      <w:r w:rsidR="00370A8B">
        <w:t>.</w:t>
      </w:r>
    </w:p>
    <w:p w14:paraId="774A6E2D" w14:textId="5DB98F35" w:rsidR="00DC4AAC" w:rsidRDefault="00DC4AAC" w:rsidP="00C16D74">
      <w:pPr>
        <w:pStyle w:val="2LBulletsF"/>
      </w:pPr>
      <w:r w:rsidRPr="004A2D22">
        <w:rPr>
          <w:b/>
        </w:rPr>
        <w:t xml:space="preserve">Ierobežots pieejamais finansējumam </w:t>
      </w:r>
      <w:r>
        <w:t>maziem un vidējiem uzņēmumiem, kas neļauj piekļūt augsti specializētām iekārtām, it īpaši P&amp;A&amp;I jomā</w:t>
      </w:r>
      <w:r w:rsidR="00370A8B">
        <w:t>.</w:t>
      </w:r>
    </w:p>
    <w:p w14:paraId="7D71A483" w14:textId="32B7C703" w:rsidR="00DC4AAC" w:rsidRDefault="00DC4AAC" w:rsidP="00C16D74">
      <w:pPr>
        <w:pStyle w:val="2LBulletsF"/>
      </w:pPr>
      <w:r>
        <w:t xml:space="preserve">Būtiskākie </w:t>
      </w:r>
      <w:r w:rsidR="00AF0B2E" w:rsidRPr="009F0A03">
        <w:rPr>
          <w:rStyle w:val="Strong"/>
        </w:rPr>
        <w:t>sektor</w:t>
      </w:r>
      <w:r w:rsidR="00AF0B2E">
        <w:rPr>
          <w:rStyle w:val="Strong"/>
        </w:rPr>
        <w:t>iem</w:t>
      </w:r>
      <w:r w:rsidRPr="009F0A03">
        <w:rPr>
          <w:rStyle w:val="Strong"/>
        </w:rPr>
        <w:t xml:space="preserve"> specifiskie šķēršļi</w:t>
      </w:r>
      <w:r>
        <w:t xml:space="preserve"> ir</w:t>
      </w:r>
      <w:r w:rsidR="00370A8B">
        <w:t xml:space="preserve"> šādi</w:t>
      </w:r>
      <w:r>
        <w:t>:</w:t>
      </w:r>
    </w:p>
    <w:p w14:paraId="0BC132A6" w14:textId="4F5A8100" w:rsidR="00DC4AAC" w:rsidRDefault="00370A8B" w:rsidP="00072C23">
      <w:pPr>
        <w:pStyle w:val="2LBulletsF"/>
        <w:numPr>
          <w:ilvl w:val="2"/>
          <w:numId w:val="3"/>
        </w:numPr>
      </w:pPr>
      <w:r>
        <w:t>farmācijā</w:t>
      </w:r>
      <w:r w:rsidR="00DC4AAC">
        <w:t xml:space="preserve"> Zāļu valsts aģentūras pakalpojumu neapmierinošs ātrums, apjoms un kvalitāte zāļu reģistrācijas jomā;</w:t>
      </w:r>
    </w:p>
    <w:p w14:paraId="0DC0C3EE" w14:textId="5E13BEB4" w:rsidR="00DC4AAC" w:rsidRDefault="00DC4AAC" w:rsidP="00072C23">
      <w:pPr>
        <w:pStyle w:val="2LBulletsF"/>
        <w:numPr>
          <w:ilvl w:val="2"/>
          <w:numId w:val="3"/>
        </w:numPr>
      </w:pPr>
      <w:r>
        <w:t>lēna finanšu atdeve no jauniem produktiem</w:t>
      </w:r>
      <w:r w:rsidR="00AF0B2E" w:rsidDel="00370A8B">
        <w:t xml:space="preserve"> </w:t>
      </w:r>
      <w:r w:rsidR="00370A8B">
        <w:t>ķīmijas</w:t>
      </w:r>
      <w:r w:rsidR="00AF0B2E">
        <w:t xml:space="preserve"> un</w:t>
      </w:r>
      <w:r>
        <w:t xml:space="preserve"> būvķīmijas jomā;</w:t>
      </w:r>
    </w:p>
    <w:p w14:paraId="372928B9" w14:textId="03556AF9" w:rsidR="009D0A8B" w:rsidRDefault="00AF0B2E" w:rsidP="00072C23">
      <w:pPr>
        <w:pStyle w:val="2LBulletsF"/>
        <w:numPr>
          <w:ilvl w:val="2"/>
          <w:numId w:val="3"/>
        </w:numPr>
      </w:pPr>
      <w:r>
        <w:t>augstās enerģijas cenas</w:t>
      </w:r>
      <w:r w:rsidDel="00370A8B">
        <w:t xml:space="preserve"> </w:t>
      </w:r>
      <w:r w:rsidR="00370A8B">
        <w:t>nemetālisko</w:t>
      </w:r>
      <w:r w:rsidR="00DC4AAC">
        <w:t xml:space="preserve"> minerālu</w:t>
      </w:r>
      <w:r>
        <w:t xml:space="preserve"> un</w:t>
      </w:r>
      <w:r w:rsidR="00DC4AAC">
        <w:t xml:space="preserve"> stikla šķiedra</w:t>
      </w:r>
      <w:r>
        <w:t>s</w:t>
      </w:r>
      <w:r w:rsidR="00DC4AAC">
        <w:t xml:space="preserve"> jomas lielākajiem uzņēmumiem</w:t>
      </w:r>
      <w:r w:rsidR="00370A8B">
        <w:t>.</w:t>
      </w:r>
    </w:p>
    <w:p w14:paraId="60B675C0" w14:textId="77777777" w:rsidR="004A2D22" w:rsidRDefault="004A2D22" w:rsidP="00F91137">
      <w:pPr>
        <w:pStyle w:val="Chart"/>
      </w:pPr>
      <w:r>
        <w:lastRenderedPageBreak/>
        <w:drawing>
          <wp:inline distT="0" distB="0" distL="0" distR="0" wp14:anchorId="52D03FFC" wp14:editId="1A337C58">
            <wp:extent cx="2971800" cy="2647950"/>
            <wp:effectExtent l="57150" t="0" r="76200" b="0"/>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0" r:lo="rId21" r:qs="rId22" r:cs="rId23"/>
              </a:graphicData>
            </a:graphic>
          </wp:inline>
        </w:drawing>
      </w:r>
    </w:p>
    <w:p w14:paraId="097EE123" w14:textId="4435EE9F" w:rsidR="557754A5" w:rsidRDefault="557754A5" w:rsidP="00F91137">
      <w:r>
        <w:t xml:space="preserve">Nozares stratēģijā </w:t>
      </w:r>
      <w:r w:rsidR="00E15F6E">
        <w:t>ir</w:t>
      </w:r>
      <w:r>
        <w:t xml:space="preserve"> definēta nozares ilgtermiņa vīzija. Vīzijā ietverti nišu specializācijas, inovācijām atvērtās vides un talantu piesaistes virzieni.</w:t>
      </w:r>
    </w:p>
    <w:p w14:paraId="638FB33C" w14:textId="5286061B" w:rsidR="557754A5" w:rsidRDefault="1BAB2036" w:rsidP="00C16D74">
      <w:pPr>
        <w:pStyle w:val="BulletsF"/>
      </w:pPr>
      <w:r w:rsidRPr="009D0A8B">
        <w:rPr>
          <w:b/>
          <w:bCs/>
        </w:rPr>
        <w:t>Nišu speciālistu zeme.</w:t>
      </w:r>
      <w:r>
        <w:t xml:space="preserve"> Latvijas uzņēmumi ir attīstījuši spējas strauji ieņemt jaunas </w:t>
      </w:r>
      <w:r w:rsidR="00F61471">
        <w:t xml:space="preserve">un </w:t>
      </w:r>
      <w:r>
        <w:t>ienesīgas nozaru nišas, š</w:t>
      </w:r>
      <w:r w:rsidR="00F61471">
        <w:t>ī</w:t>
      </w:r>
      <w:r>
        <w:t xml:space="preserve"> uzdevuma</w:t>
      </w:r>
      <w:r w:rsidR="00F61471">
        <w:t xml:space="preserve"> izpildē</w:t>
      </w:r>
      <w:r>
        <w:t xml:space="preserve"> izmantojot attīstītu kompetenču kopumu un nepieciešamo infrastruktūru.</w:t>
      </w:r>
    </w:p>
    <w:p w14:paraId="1ADBF57E" w14:textId="36E35990" w:rsidR="557754A5" w:rsidRDefault="1BAB2036" w:rsidP="00C16D74">
      <w:pPr>
        <w:pStyle w:val="BulletsF"/>
      </w:pPr>
      <w:r w:rsidRPr="009D0A8B">
        <w:rPr>
          <w:b/>
          <w:bCs/>
        </w:rPr>
        <w:t>Inovāciju laboratorija</w:t>
      </w:r>
      <w:r w:rsidRPr="004C06D6">
        <w:rPr>
          <w:b/>
        </w:rPr>
        <w:t>.</w:t>
      </w:r>
      <w:r>
        <w:t xml:space="preserve"> Latvija sniedz aktīvu atbalstu jauno</w:t>
      </w:r>
      <w:r w:rsidR="00E15F6E">
        <w:t xml:space="preserve"> un</w:t>
      </w:r>
      <w:r>
        <w:t xml:space="preserve"> inovatīvo tehnoloģiju adaptācijai tirgū, jaunu produktu reģistrācijai un standartizēšanai. Latvija ir galvenais inovatīvo, industriālo produktu adaptācijas tirgus industriālo produktu un tehnoloģiju jomās infrastruktūrā un būvniecībā, kur valsts iestādes un lielie uzņēmumi piedalās kā inovatīvs patērētājs un demonstrācijas poligons.</w:t>
      </w:r>
    </w:p>
    <w:p w14:paraId="03659D72" w14:textId="77777777" w:rsidR="557754A5" w:rsidRDefault="557754A5" w:rsidP="00C16D74">
      <w:pPr>
        <w:pStyle w:val="BulletsF"/>
      </w:pPr>
      <w:r w:rsidRPr="009D0A8B">
        <w:rPr>
          <w:b/>
          <w:bCs/>
        </w:rPr>
        <w:t>Industrijas talantu karjeras starta punkts.</w:t>
      </w:r>
      <w:r>
        <w:t xml:space="preserve"> Latvija ir iecienīta vieta augstas kvalifikācijas jaunajiem speciālistiem karjeras sākšanai vidēja izmēra augsti tehnoloģiskajos un pētniecības uzņēmumos. </w:t>
      </w:r>
    </w:p>
    <w:p w14:paraId="6C55DA81" w14:textId="785D7FEC" w:rsidR="557754A5" w:rsidRDefault="557754A5" w:rsidP="00F91137">
      <w:r>
        <w:t xml:space="preserve">Nozares mērķi </w:t>
      </w:r>
      <w:r w:rsidR="00F61471">
        <w:t xml:space="preserve">ir </w:t>
      </w:r>
      <w:r>
        <w:t>saistīti ar konkurētspējas pieaugumu un noteikti līdz 202</w:t>
      </w:r>
      <w:r w:rsidR="00540741">
        <w:t>5</w:t>
      </w:r>
      <w:r>
        <w:t>. gadam</w:t>
      </w:r>
      <w:r w:rsidR="00E15F6E">
        <w:t>.</w:t>
      </w:r>
    </w:p>
    <w:p w14:paraId="34AC7AA1" w14:textId="77777777" w:rsidR="557754A5" w:rsidRDefault="557754A5" w:rsidP="00C16D74">
      <w:pPr>
        <w:pStyle w:val="BulletsF"/>
      </w:pPr>
      <w:r w:rsidRPr="00627968">
        <w:t>Visā ķīmijas nozarē un apakšnozarēs</w:t>
      </w:r>
      <w:r>
        <w:t>:</w:t>
      </w:r>
    </w:p>
    <w:p w14:paraId="57E93E64" w14:textId="69A8B8D2" w:rsidR="557754A5" w:rsidRPr="00C16D74" w:rsidRDefault="00F61471" w:rsidP="00C16D74">
      <w:pPr>
        <w:pStyle w:val="2LBulletsF"/>
      </w:pPr>
      <w:r>
        <w:t>p</w:t>
      </w:r>
      <w:r w:rsidRPr="00C16D74">
        <w:t>alielināt</w:t>
      </w:r>
      <w:r w:rsidR="557754A5" w:rsidRPr="00C16D74">
        <w:t xml:space="preserve"> apgrozījumu vismaz par </w:t>
      </w:r>
      <w:r w:rsidR="00540741">
        <w:t>30</w:t>
      </w:r>
      <w:r w:rsidR="00176786">
        <w:t> </w:t>
      </w:r>
      <w:r w:rsidR="00A51E60">
        <w:t>%</w:t>
      </w:r>
      <w:r w:rsidR="00AD387A">
        <w:t>,</w:t>
      </w:r>
      <w:r w:rsidR="557754A5" w:rsidRPr="00C16D74">
        <w:t xml:space="preserve"> </w:t>
      </w:r>
      <w:r w:rsidR="00AD387A">
        <w:t>pamatojoties</w:t>
      </w:r>
      <w:r w:rsidR="557754A5" w:rsidRPr="00C16D74">
        <w:t xml:space="preserve"> uz eksporta apjomu pieaugumu;</w:t>
      </w:r>
    </w:p>
    <w:p w14:paraId="2A0B5C3E" w14:textId="205DE2F7" w:rsidR="557754A5" w:rsidRPr="00C16D74" w:rsidRDefault="00DE2401" w:rsidP="00C16D74">
      <w:pPr>
        <w:pStyle w:val="2LBulletsF"/>
      </w:pPr>
      <w:r>
        <w:t>paaugstināt</w:t>
      </w:r>
      <w:r w:rsidR="557754A5" w:rsidRPr="00C16D74">
        <w:t xml:space="preserve"> produktivitāti uz darbinieku līdz </w:t>
      </w:r>
      <w:r w:rsidR="00540741">
        <w:t>60</w:t>
      </w:r>
      <w:r w:rsidR="00A51E60">
        <w:t> </w:t>
      </w:r>
      <w:r w:rsidR="557754A5" w:rsidRPr="00C16D74">
        <w:t>% no ES nozares vidējiem rādītājiem</w:t>
      </w:r>
      <w:r>
        <w:t>;</w:t>
      </w:r>
    </w:p>
    <w:p w14:paraId="10DE8F2B" w14:textId="1599A8DE" w:rsidR="557754A5" w:rsidRDefault="00DE2401" w:rsidP="00C16D74">
      <w:pPr>
        <w:pStyle w:val="2LBulletsF"/>
      </w:pPr>
      <w:r>
        <w:t>p</w:t>
      </w:r>
      <w:r w:rsidRPr="00C16D74">
        <w:t>iesaistīt</w:t>
      </w:r>
      <w:r w:rsidR="1BAB2036" w:rsidRPr="00C16D74">
        <w:t xml:space="preserve"> nozarē investīcijas un augsti </w:t>
      </w:r>
      <w:r w:rsidR="00E15F6E" w:rsidRPr="00C16D74">
        <w:t>kvalificēt</w:t>
      </w:r>
      <w:r w:rsidR="00E15F6E">
        <w:t>u</w:t>
      </w:r>
      <w:r w:rsidR="00E15F6E" w:rsidRPr="00C16D74">
        <w:t>s</w:t>
      </w:r>
      <w:r w:rsidR="1BAB2036" w:rsidRPr="00C16D74">
        <w:t xml:space="preserve"> cilvēkresursus no ārvalstīm, lai ātrāk sasniegt</w:t>
      </w:r>
      <w:r w:rsidR="1BAB2036">
        <w:t xml:space="preserve">u eksporta pieauguma un produktivitātes mērķus. </w:t>
      </w:r>
    </w:p>
    <w:p w14:paraId="45271387" w14:textId="77777777" w:rsidR="557754A5" w:rsidRPr="00627968" w:rsidRDefault="557754A5" w:rsidP="00C16D74">
      <w:pPr>
        <w:pStyle w:val="BulletsF"/>
      </w:pPr>
      <w:r w:rsidRPr="00627968">
        <w:t>Ķīmija, būvmateriāli, viedie materiāli:</w:t>
      </w:r>
    </w:p>
    <w:p w14:paraId="0724F0A6" w14:textId="76C98550" w:rsidR="557754A5" w:rsidRDefault="1BAB2036" w:rsidP="00C16D74">
      <w:pPr>
        <w:pStyle w:val="2LBulletsF"/>
      </w:pPr>
      <w:r>
        <w:t>Latvijā līdz 202</w:t>
      </w:r>
      <w:r w:rsidR="00176786">
        <w:t>3</w:t>
      </w:r>
      <w:r>
        <w:t xml:space="preserve"> gadam radīt un laist tirgū vismaz </w:t>
      </w:r>
      <w:r w:rsidR="00176786">
        <w:t xml:space="preserve">8 </w:t>
      </w:r>
      <w:r>
        <w:t>jaunus produktus, tajā skaitā 5</w:t>
      </w:r>
      <w:r w:rsidR="00DE2401">
        <w:t> </w:t>
      </w:r>
      <w:r>
        <w:t>produktus sadarbībā ar valsts iestādēm vai lielajiem uzņēmumiem kā inovāciju adaptācijas partneriem.</w:t>
      </w:r>
    </w:p>
    <w:p w14:paraId="2F30B22C" w14:textId="77777777" w:rsidR="557754A5" w:rsidRDefault="557754A5" w:rsidP="00C16D74">
      <w:pPr>
        <w:pStyle w:val="BulletsF"/>
      </w:pPr>
      <w:r w:rsidRPr="00627968">
        <w:t>Farmācija</w:t>
      </w:r>
      <w:r>
        <w:t>:</w:t>
      </w:r>
    </w:p>
    <w:p w14:paraId="7A301FB7" w14:textId="376E3D25" w:rsidR="557754A5" w:rsidRDefault="557754A5" w:rsidP="00C16D74">
      <w:pPr>
        <w:pStyle w:val="2LBulletsF"/>
      </w:pPr>
      <w:r>
        <w:t>diversificēt risku, palielinot produkcijas pārdošanas īpatsvaru jaunajos attīstības tirgos Āzijā un Tuvajos Austrumos līdz pat 50</w:t>
      </w:r>
      <w:r w:rsidR="00A51E60">
        <w:t> </w:t>
      </w:r>
      <w:r>
        <w:t>% no kopējā pārdošanas apjoma;</w:t>
      </w:r>
    </w:p>
    <w:p w14:paraId="233DB89A" w14:textId="1D6CB603" w:rsidR="557754A5" w:rsidRDefault="557754A5" w:rsidP="00C16D74">
      <w:pPr>
        <w:pStyle w:val="2LBulletsF"/>
      </w:pPr>
      <w:r>
        <w:t>noturēt peļņas normu pašreizējā līmenī</w:t>
      </w:r>
      <w:r w:rsidR="00DE2401">
        <w:t>,</w:t>
      </w:r>
      <w:r>
        <w:t xml:space="preserve"> turpinot fokusēties uz nišu produktiem un izmantojot savas pārdošanas spējas un kanālus attīstības tirgos Austrumeiropā, Āzijā un Tuvajos Austrumos;</w:t>
      </w:r>
    </w:p>
    <w:p w14:paraId="6E8F47C9" w14:textId="0B8E83F9" w:rsidR="00540741" w:rsidRDefault="00504DA2" w:rsidP="00C16D74">
      <w:pPr>
        <w:pStyle w:val="2LBulletsF"/>
      </w:pPr>
      <w:r>
        <w:lastRenderedPageBreak/>
        <w:t xml:space="preserve">būtiski </w:t>
      </w:r>
      <w:r w:rsidR="00540741">
        <w:t xml:space="preserve">samazināt Krievijas un Baltkrievijas tirgu īpatsvaru </w:t>
      </w:r>
      <w:r>
        <w:t>kopējā Latvijas zāļu ražotāju produktu portfolio attīstot kā aizvietojošos biznesa virzienu zāļu izstrādes komercpakalpojumus un zāļu kontrakt-ražošanas pakalpojumus</w:t>
      </w:r>
    </w:p>
    <w:p w14:paraId="11DFAF02" w14:textId="0B9541F2" w:rsidR="557754A5" w:rsidRDefault="557754A5" w:rsidP="00C16D74">
      <w:pPr>
        <w:pStyle w:val="2LBulletsF"/>
      </w:pPr>
      <w:r>
        <w:t xml:space="preserve">attīstīt spējas radīt, sertificēt un laist ražošanā jaunas patentbrīvās zāles </w:t>
      </w:r>
      <w:r w:rsidR="00147DC8">
        <w:t>trīs</w:t>
      </w:r>
      <w:r w:rsidR="004C06D6">
        <w:t xml:space="preserve"> </w:t>
      </w:r>
      <w:r>
        <w:t>gadu laikā. Spēju attīstība nepieciešama vienlaikus gan komersantu</w:t>
      </w:r>
      <w:r w:rsidR="00627968">
        <w:t>,</w:t>
      </w:r>
      <w:r>
        <w:t xml:space="preserve"> gan Zāļu </w:t>
      </w:r>
      <w:r w:rsidR="00DE2401">
        <w:t>valsts aģentūras</w:t>
      </w:r>
      <w:r>
        <w:t xml:space="preserve"> pusē. </w:t>
      </w:r>
    </w:p>
    <w:p w14:paraId="4D49A902" w14:textId="77777777" w:rsidR="557754A5" w:rsidRDefault="557754A5" w:rsidP="00C16D74">
      <w:pPr>
        <w:pStyle w:val="BulletsF"/>
      </w:pPr>
      <w:r w:rsidRPr="00627968">
        <w:t>Kosmētika un pārtikas piedevas</w:t>
      </w:r>
      <w:r>
        <w:t>:</w:t>
      </w:r>
    </w:p>
    <w:p w14:paraId="1DE57DEE" w14:textId="70AD26A8" w:rsidR="557754A5" w:rsidRDefault="00DE2401" w:rsidP="00C16D74">
      <w:pPr>
        <w:pStyle w:val="2LBulletsF"/>
      </w:pPr>
      <w:r>
        <w:t>palielināt</w:t>
      </w:r>
      <w:r w:rsidR="557754A5">
        <w:t xml:space="preserve"> apgrozījumu līdz 202</w:t>
      </w:r>
      <w:r w:rsidR="00176786">
        <w:t>3</w:t>
      </w:r>
      <w:r w:rsidR="557754A5">
        <w:t xml:space="preserve">. gadam vismaz par </w:t>
      </w:r>
      <w:r w:rsidR="00176786">
        <w:t>30</w:t>
      </w:r>
      <w:r w:rsidR="00A51E60">
        <w:t> </w:t>
      </w:r>
      <w:r w:rsidR="557754A5">
        <w:t>%, visu izaugsmi nodrošinot ar eksporta apjomu pieaugumu;</w:t>
      </w:r>
    </w:p>
    <w:p w14:paraId="081CE2E3" w14:textId="06836B9C" w:rsidR="557754A5" w:rsidRDefault="00DE2401" w:rsidP="00C16D74">
      <w:pPr>
        <w:pStyle w:val="2LBulletsF"/>
      </w:pPr>
      <w:r>
        <w:t>paplašināt</w:t>
      </w:r>
      <w:r w:rsidR="557754A5">
        <w:t xml:space="preserve"> piedāvāto produktu klāstu un to apvienot ar Latvijā sniedzamiem eksportējamiem pakalpojumiem;</w:t>
      </w:r>
    </w:p>
    <w:p w14:paraId="5738E69F" w14:textId="7AC3FD09" w:rsidR="557754A5" w:rsidRDefault="00147DC8" w:rsidP="00C16D74">
      <w:pPr>
        <w:pStyle w:val="2LBulletsF"/>
      </w:pPr>
      <w:r>
        <w:t>koncentrēt</w:t>
      </w:r>
      <w:r w:rsidR="1BAB2036">
        <w:t xml:space="preserve"> uzmanību uz atsevišķiem tirgiem</w:t>
      </w:r>
      <w:r w:rsidR="00DE2401">
        <w:t>,</w:t>
      </w:r>
      <w:r w:rsidR="1BAB2036">
        <w:t xml:space="preserve"> samazinot diversifikāciju.</w:t>
      </w:r>
    </w:p>
    <w:p w14:paraId="3CF43887" w14:textId="005DFB37" w:rsidR="00627968" w:rsidRDefault="003D6696" w:rsidP="00F91137">
      <w:r>
        <w:t>M</w:t>
      </w:r>
      <w:r w:rsidR="1BAB2036">
        <w:t xml:space="preserve">ērķu sasniegšanai </w:t>
      </w:r>
      <w:r w:rsidR="00DE2401">
        <w:t>nepieciešama</w:t>
      </w:r>
      <w:r w:rsidR="1BAB2036">
        <w:t xml:space="preserve"> gan nozares </w:t>
      </w:r>
      <w:r w:rsidR="00DE2401">
        <w:t>dalībnieku</w:t>
      </w:r>
      <w:r w:rsidR="1BAB2036">
        <w:t xml:space="preserve"> aktīva darbība, gan koordinēta rīcība valsts institūciju starpā. Lai gan daudzi no nozares attīstībai </w:t>
      </w:r>
      <w:r w:rsidR="00147DC8">
        <w:t>vajadzīgajiem</w:t>
      </w:r>
      <w:r w:rsidR="1BAB2036">
        <w:t xml:space="preserve"> pasākumiem jau iekļauti valsts attīstības dokumentos (piemēram, industriālajā politikā), to novēlota realizācija ievērojami kavēs iespēju izmantot </w:t>
      </w:r>
      <w:r w:rsidR="00147DC8">
        <w:t>patlaban</w:t>
      </w:r>
      <w:r w:rsidR="1BAB2036">
        <w:t xml:space="preserve"> identificētās iespējas (piemēram</w:t>
      </w:r>
      <w:r w:rsidR="00F6081B">
        <w:t>, patentbrīvo medikamentu nišā).</w:t>
      </w:r>
      <w:r w:rsidR="1BAB2036">
        <w:t xml:space="preserve"> </w:t>
      </w:r>
    </w:p>
    <w:p w14:paraId="002979EC" w14:textId="7D376A15" w:rsidR="00DC4AAC" w:rsidRDefault="1BAB2036" w:rsidP="00F91137">
      <w:r>
        <w:t>Dokumenta nodaļā “</w:t>
      </w:r>
      <w:r w:rsidRPr="1BAB2036">
        <w:rPr>
          <w:i/>
          <w:iCs/>
        </w:rPr>
        <w:t>Priekšlikumi</w:t>
      </w:r>
      <w:r>
        <w:t xml:space="preserve">” apkopoti atbalsta instrumentu apraksti, lai uzņēmumu turpmākā attīstība būtu strauja un Latvijas ķīmijas un farmācijas nozare spētu pārvarēt vidēja termiņa izaicinājumus. Nepieciešamais atbalsts veidojams </w:t>
      </w:r>
      <w:r w:rsidR="00AB5A05">
        <w:t>turpmāk minētajos</w:t>
      </w:r>
      <w:r>
        <w:t xml:space="preserve"> virzienos</w:t>
      </w:r>
      <w:r w:rsidR="00AB5A05">
        <w:t>.</w:t>
      </w:r>
    </w:p>
    <w:p w14:paraId="52371545" w14:textId="7C5BC28A" w:rsidR="00DC4AAC" w:rsidRDefault="004C06D6" w:rsidP="00C16D74">
      <w:pPr>
        <w:pStyle w:val="BulletsF"/>
      </w:pPr>
      <w:r>
        <w:t>Cilvēkresursu attīstība</w:t>
      </w:r>
      <w:r w:rsidR="00AA7274">
        <w:t xml:space="preserve">. </w:t>
      </w:r>
    </w:p>
    <w:p w14:paraId="2637DD4C" w14:textId="469998E0" w:rsidR="00DC4AAC" w:rsidRDefault="004C06D6" w:rsidP="00C16D74">
      <w:pPr>
        <w:pStyle w:val="BulletsF"/>
      </w:pPr>
      <w:r>
        <w:t>Komercializāciju sekmējošu apstākļu veidošana un eksporta atbalsts.</w:t>
      </w:r>
    </w:p>
    <w:p w14:paraId="48317DAE" w14:textId="725BE0B5" w:rsidR="00DC4AAC" w:rsidRDefault="004C06D6" w:rsidP="00C16D74">
      <w:pPr>
        <w:pStyle w:val="BulletsF"/>
      </w:pPr>
      <w:r>
        <w:t>Atbalsts pētniecības un inovāciju infrastruktūrai,</w:t>
      </w:r>
      <w:r w:rsidR="00AA7274">
        <w:t xml:space="preserve"> īpaši</w:t>
      </w:r>
      <w:r>
        <w:t xml:space="preserve"> sekmējot uzņēmumu piekļuvi </w:t>
      </w:r>
      <w:r w:rsidR="00AA7274">
        <w:t>pētniecības infrastruktūrai, uzņēmumu iesaisti lēmumos, kas saistīti ar publisko pētniecības infrastruktūru, kā arī atbalstot privātos pētniecības un attīstības infrastruktūras attīstības projektus;</w:t>
      </w:r>
    </w:p>
    <w:p w14:paraId="2DAF6A95" w14:textId="46C29E8B" w:rsidR="00DC4AAC" w:rsidRDefault="004C06D6" w:rsidP="00C16D74">
      <w:pPr>
        <w:pStyle w:val="BulletsF"/>
      </w:pPr>
      <w:r>
        <w:t>Sadarbības ekosistēmas attīstības veicināšana</w:t>
      </w:r>
      <w:r w:rsidR="00AA7274">
        <w:t>, tai skaitā atbalsts klasteru un kompetenču centru darbībai</w:t>
      </w:r>
      <w:r w:rsidR="001B2CD4">
        <w:t>, kā arī atbalsts</w:t>
      </w:r>
      <w:r w:rsidR="006B510D">
        <w:t xml:space="preserve"> ilgtspējīgai</w:t>
      </w:r>
      <w:r w:rsidR="001B2CD4">
        <w:t xml:space="preserve"> </w:t>
      </w:r>
      <w:r w:rsidR="006B510D">
        <w:t xml:space="preserve">starpnozaru un starptautiskai sadarbībai. </w:t>
      </w:r>
    </w:p>
    <w:p w14:paraId="23170C20" w14:textId="02AFD71C" w:rsidR="643B3E12" w:rsidRDefault="643B3E12" w:rsidP="00F91137">
      <w:bookmarkStart w:id="7" w:name="_Toc400456884"/>
      <w:bookmarkStart w:id="8" w:name="_Toc400468712"/>
      <w:bookmarkStart w:id="9" w:name="_Toc400470529"/>
      <w:bookmarkStart w:id="10" w:name="_Toc400470917"/>
      <w:bookmarkStart w:id="11" w:name="_Toc400516246"/>
      <w:r>
        <w:t>Vairums šo instrumentu ir sistēmiski svarīgi un nepieciešami arī citu nozaru izaugsmei</w:t>
      </w:r>
      <w:r w:rsidR="00556E92">
        <w:t>,</w:t>
      </w:r>
      <w:r>
        <w:t xml:space="preserve"> un tiem būs atdeve vidējā vai ilgākā termiņā. </w:t>
      </w:r>
      <w:r w:rsidR="00CC6188">
        <w:t>Savukārt</w:t>
      </w:r>
      <w:r>
        <w:t xml:space="preserve"> industrijas pārstāvji </w:t>
      </w:r>
      <w:r w:rsidR="00147DC8">
        <w:t>ir</w:t>
      </w:r>
      <w:r>
        <w:t xml:space="preserve"> gatavi aktīvi iesaistīties inovāciju procesa un zināšanu komercializācijas instrumentu izstrādē un pārvaldībā, </w:t>
      </w:r>
      <w:r w:rsidR="00CC6188">
        <w:t>tostarp</w:t>
      </w:r>
      <w:r>
        <w:t xml:space="preserve"> arī inovāciju jomas atbalstošās infrastruktūras izvēlē</w:t>
      </w:r>
      <w:r w:rsidR="00CC6188">
        <w:t xml:space="preserve"> un</w:t>
      </w:r>
      <w:r>
        <w:t xml:space="preserve"> prakšu nodrošināšanā</w:t>
      </w:r>
      <w:r w:rsidR="00CC6188">
        <w:t>,</w:t>
      </w:r>
      <w:r>
        <w:t xml:space="preserve"> un </w:t>
      </w:r>
      <w:r w:rsidR="00CC6188">
        <w:t>atvēlēt</w:t>
      </w:r>
      <w:r>
        <w:t xml:space="preserve"> tam augsta līmeņa speciālistu laiku. </w:t>
      </w:r>
      <w:r w:rsidR="00556E92">
        <w:t>Lai palielinātu nozares produktivitāti,</w:t>
      </w:r>
      <w:r>
        <w:t xml:space="preserve"> uzņēmumi </w:t>
      </w:r>
      <w:r w:rsidR="00CC6188">
        <w:t>ir</w:t>
      </w:r>
      <w:r>
        <w:t xml:space="preserve"> gatavi atbildīgi un atbilstoši uzņēmumu stratēģijām piemērot eksporta atbalsta instrumentus jaunu tirgu apguvei</w:t>
      </w:r>
      <w:r w:rsidR="00CC6188">
        <w:t>,</w:t>
      </w:r>
      <w:r>
        <w:t xml:space="preserve"> attiecīgi paplašinot vai sašaurinot un padziļinot savu darbību dažādos tirgos.</w:t>
      </w:r>
    </w:p>
    <w:p w14:paraId="4638E969" w14:textId="3DB0DF49" w:rsidR="643B3E12" w:rsidRDefault="1BAB2036" w:rsidP="00F91137">
      <w:r>
        <w:t>Lai realizētu plānotos mērķus</w:t>
      </w:r>
      <w:r w:rsidR="00147DC8">
        <w:t>,</w:t>
      </w:r>
      <w:r>
        <w:t xml:space="preserve"> būvmateriālu un viedo materiālu komersantiem </w:t>
      </w:r>
      <w:r w:rsidR="00CC6188">
        <w:t xml:space="preserve">ir </w:t>
      </w:r>
      <w:r>
        <w:t xml:space="preserve">būtiski nodrošināt ciešāku sadarbību ar </w:t>
      </w:r>
      <w:r w:rsidR="00AA7274">
        <w:t xml:space="preserve">pētniekiem </w:t>
      </w:r>
      <w:r>
        <w:t xml:space="preserve">un </w:t>
      </w:r>
      <w:r w:rsidR="00CC6188">
        <w:t>būtisks ir</w:t>
      </w:r>
      <w:r>
        <w:t xml:space="preserve"> valsts atbalsts </w:t>
      </w:r>
      <w:r w:rsidR="00556E92" w:rsidRPr="00556E92">
        <w:rPr>
          <w:i/>
        </w:rPr>
        <w:t>produktu attīstības</w:t>
      </w:r>
      <w:r w:rsidRPr="00556E92">
        <w:rPr>
          <w:i/>
        </w:rPr>
        <w:t xml:space="preserve"> tirgus</w:t>
      </w:r>
      <w:r>
        <w:t xml:space="preserve"> koncepcijā. Farmācijas komersantiem īpaši nepieciešama jaunu medikamentu reģistrācijas pieredze un </w:t>
      </w:r>
      <w:r w:rsidR="00CC6188">
        <w:t>Z</w:t>
      </w:r>
      <w:r>
        <w:t xml:space="preserve">āļu valsts aģentūras </w:t>
      </w:r>
      <w:r w:rsidR="00147DC8">
        <w:t>pēc iespējas efektīvāka</w:t>
      </w:r>
      <w:r>
        <w:t xml:space="preserve"> darbība. Turpretim </w:t>
      </w:r>
      <w:r w:rsidR="0071225A">
        <w:t xml:space="preserve">dabas vielu zāļu, </w:t>
      </w:r>
      <w:r>
        <w:t>kosmētikas un uztura bagātinātāju ražotājiem ir svarīgi atbalsta instrumenti, kuri ļautu padziļināt eksporta tirgu apguvi un ātri piesaistīt nepieciešamos speciālistus ārējiem tirgiem piemērotāku produktu izstrādē no ārzemēm.</w:t>
      </w:r>
      <w:r w:rsidR="00556E92" w:rsidRPr="00556E92">
        <w:t xml:space="preserve"> </w:t>
      </w:r>
    </w:p>
    <w:p w14:paraId="0EE3AAF3" w14:textId="18C50F81" w:rsidR="00A34972" w:rsidRDefault="00A34972" w:rsidP="004C29F7">
      <w:pPr>
        <w:pStyle w:val="Heading1"/>
      </w:pPr>
      <w:bookmarkStart w:id="12" w:name="_Toc119072216"/>
      <w:bookmarkEnd w:id="7"/>
      <w:bookmarkEnd w:id="8"/>
      <w:bookmarkEnd w:id="9"/>
      <w:bookmarkEnd w:id="10"/>
      <w:bookmarkEnd w:id="11"/>
      <w:r>
        <w:lastRenderedPageBreak/>
        <w:t>Izvēlētā viedās specializācijas joma</w:t>
      </w:r>
      <w:bookmarkEnd w:id="12"/>
    </w:p>
    <w:p w14:paraId="3E8791B6" w14:textId="77777777" w:rsidR="00040A8A" w:rsidRDefault="00040A8A" w:rsidP="00040A8A">
      <w:r>
        <w:t xml:space="preserve">Farmācijas un </w:t>
      </w:r>
      <w:r w:rsidRPr="00040A8A">
        <w:t xml:space="preserve">biomedicīnas un medicīnas tehnoloģiju kompetences centra (turpmāk tekstā FBMTKC) pamata darbības joma atbilst </w:t>
      </w:r>
      <w:r w:rsidRPr="00C948F2">
        <w:t>biomedicīna, medicīnas tehnoloģijas, biofarmācija un biotehnoloģijas</w:t>
      </w:r>
      <w:r w:rsidRPr="00040A8A">
        <w:t xml:space="preserve"> </w:t>
      </w:r>
      <w:r>
        <w:t>tematikai</w:t>
      </w:r>
      <w:r w:rsidRPr="00040A8A">
        <w:t xml:space="preserve">. </w:t>
      </w:r>
    </w:p>
    <w:p w14:paraId="71EDC41D" w14:textId="3C3DE854" w:rsidR="00040A8A" w:rsidRPr="002729FF" w:rsidRDefault="00040A8A" w:rsidP="00040A8A">
      <w:r>
        <w:t xml:space="preserve">Jomu pārstāvji ir </w:t>
      </w:r>
      <w:r w:rsidR="00AC3A5E">
        <w:t>saimnieciskās darbības veicēji</w:t>
      </w:r>
      <w:r>
        <w:t>, pētnieciskās organizācijas</w:t>
      </w:r>
      <w:r w:rsidR="00AC3A5E">
        <w:t xml:space="preserve">, zināšanu izplatīšanas organizācijas (t.sk. </w:t>
      </w:r>
      <w:r>
        <w:t>augstākās izglītības iestādes</w:t>
      </w:r>
      <w:r w:rsidR="00AC3A5E">
        <w:t>)</w:t>
      </w:r>
      <w:r>
        <w:t xml:space="preserve">. Komersanti, kas ir FBMTKC dalībnieki un sadarbības partneri, ir sīkāk aprakstīti </w:t>
      </w:r>
      <w:r w:rsidR="00DB349E">
        <w:t>1.1</w:t>
      </w:r>
      <w:r>
        <w:t>. sadaļā</w:t>
      </w:r>
      <w:r w:rsidRPr="004A79C3">
        <w:t>.</w:t>
      </w:r>
      <w:r>
        <w:t xml:space="preserve">  </w:t>
      </w:r>
    </w:p>
    <w:p w14:paraId="3D253761" w14:textId="77777777" w:rsidR="004C29F7" w:rsidRDefault="004C29F7" w:rsidP="004C29F7">
      <w:pPr>
        <w:rPr>
          <w:lang w:eastAsia="lv-LV"/>
        </w:rPr>
      </w:pPr>
      <w:r>
        <w:rPr>
          <w:lang w:eastAsia="lv-LV"/>
        </w:rPr>
        <w:t xml:space="preserve">Farmācija un kosmētikas rūpniecība ir ķīmijas sektora apakšnozares, kuras apvieno galvenais mērķis – cilvēku labklājības un veselības palielināšana. Arī medicīnisko ierīču nozarei ir līdzīgs mērķis. </w:t>
      </w:r>
      <w:r w:rsidRPr="00E12D50">
        <w:rPr>
          <w:lang w:eastAsia="lv-LV"/>
        </w:rPr>
        <w:t>Tāpēc produktu efektivitāte un drošība ir galvenie faktori, kas ietekmē šo nozaru attīstību.</w:t>
      </w:r>
    </w:p>
    <w:p w14:paraId="57CA6AE4" w14:textId="7BB89EE0" w:rsidR="004C29F7" w:rsidRDefault="004C29F7" w:rsidP="004C29F7">
      <w:pPr>
        <w:rPr>
          <w:lang w:eastAsia="lv-LV"/>
        </w:rPr>
      </w:pPr>
      <w:r>
        <w:rPr>
          <w:lang w:eastAsia="lv-LV"/>
        </w:rPr>
        <w:t>Pateicoties vēsturiskām tradīcijām, Latvijai ir s</w:t>
      </w:r>
      <w:r w:rsidR="00360AB3">
        <w:rPr>
          <w:lang w:eastAsia="lv-LV"/>
        </w:rPr>
        <w:t>pēcīgs</w:t>
      </w:r>
      <w:r>
        <w:rPr>
          <w:lang w:eastAsia="lv-LV"/>
        </w:rPr>
        <w:t xml:space="preserve"> ražošanas pamats farmācijas nozarē. Padomju laikos 25% no visām zāļu tehnoloģijām tika izstrādāta tieši Latvijā, kā arī bija ražots katrs ceturtais medicīniskais preparāts PSRS tirgum. Šobrīd P&amp;A notiek šādās jomās: mikrobioloģiskā sintēze, virusoloģija, fizioloģiski aktīvu vielu sintēze, bioorganiskā ķīmija, molekulārā bioloģija, ģenētika, biotehnoloģija, biomedicīna, </w:t>
      </w:r>
      <w:r w:rsidR="0071225A">
        <w:rPr>
          <w:lang w:eastAsia="lv-LV"/>
        </w:rPr>
        <w:t xml:space="preserve">biofarmācija, </w:t>
      </w:r>
      <w:r>
        <w:rPr>
          <w:lang w:eastAsia="lv-LV"/>
        </w:rPr>
        <w:t>magnētiskā bioloģija un citas.</w:t>
      </w:r>
      <w:r w:rsidR="00040A8A">
        <w:rPr>
          <w:lang w:eastAsia="lv-LV"/>
        </w:rPr>
        <w:t xml:space="preserve"> </w:t>
      </w:r>
    </w:p>
    <w:p w14:paraId="0B7380D4" w14:textId="0FF8DD4F" w:rsidR="004C29F7" w:rsidRDefault="004C29F7" w:rsidP="004C29F7">
      <w:r>
        <w:t xml:space="preserve">Farmācija ietver zāļu pētniecību, izstrādāšanu, ražošanu, standartizāciju, kvalitātes kontroli un izplatīšanu. Šī nozare arī iegūst, ražo, apstrādā, attīra un iepako </w:t>
      </w:r>
      <w:r w:rsidR="0071225A">
        <w:t xml:space="preserve">aktīvās farmaceitiskās  </w:t>
      </w:r>
      <w:r>
        <w:t>vielas medicīnai un veterinārijai. Farmaceitisk</w:t>
      </w:r>
      <w:r w:rsidR="00AC3A5E">
        <w:t>u ražošanu veido divi posmi</w:t>
      </w:r>
      <w:r>
        <w:t xml:space="preserve">. Pirmais ir aktīvās </w:t>
      </w:r>
      <w:r w:rsidR="0071225A">
        <w:t xml:space="preserve">farmaceitiskās </w:t>
      </w:r>
      <w:r>
        <w:t>vielas jeb ingredienta ražošana, kurā notiek pirmapstrāde vai ražošana. Otrajā posmā aktīvo zāļu vielas pārvērš par ārstniecībā izmantojamiem produktiem (medikamentiem).</w:t>
      </w:r>
    </w:p>
    <w:p w14:paraId="6921E9E1" w14:textId="77777777" w:rsidR="004C29F7" w:rsidRDefault="004C29F7" w:rsidP="004C29F7">
      <w:pPr>
        <w:jc w:val="left"/>
      </w:pPr>
      <w:r w:rsidRPr="00BA0F9E">
        <w:t>Farmaceitiskos izstrādājumus var iedalīt trīs grupas: patentēti medikamenti, ko pārdod tikai pret recepti; vispārējie standarta medikamenti ar vispāratzītu sastāvu, kurus pārdod tikai pret recepti un kuri var būt uzrādīti nozares standarta rokasgrāmatās; medikamenti, ko pārdod b</w:t>
      </w:r>
      <w:r>
        <w:t>rīvā tirdzniecībā bez receptēm.</w:t>
      </w:r>
    </w:p>
    <w:p w14:paraId="551644AA" w14:textId="45C7CBB2" w:rsidR="004C29F7" w:rsidRDefault="004C29F7" w:rsidP="004C29F7">
      <w:pPr>
        <w:jc w:val="left"/>
      </w:pPr>
      <w:r>
        <w:t>Medicīnisko ierīču tirgus ir piecreiz mazāks nekā farmācijas. Vairāki farmācijas uzņēmumi ražo ne tikai farmaceitiskās pamatvielas un prepar</w:t>
      </w:r>
      <w:r w:rsidR="00B66AF7">
        <w:t>ā</w:t>
      </w:r>
      <w:r>
        <w:t>tus, bet arī medicīniskās ierīces. Tāpēc šie tirgi ir ļoti saistīti, un bieži vien to tendences arī ir līdzīgas.</w:t>
      </w:r>
    </w:p>
    <w:p w14:paraId="7E4B89F1" w14:textId="3A590D95" w:rsidR="00B66AF7" w:rsidRPr="00B66AF7" w:rsidRDefault="00A34972" w:rsidP="00B66AF7">
      <w:pPr>
        <w:pStyle w:val="Heading2"/>
      </w:pPr>
      <w:bookmarkStart w:id="13" w:name="_Toc119072217"/>
      <w:r w:rsidRPr="00A34972">
        <w:t>Jomas pārstāvji</w:t>
      </w:r>
      <w:r w:rsidR="00FE18FB">
        <w:t xml:space="preserve">. </w:t>
      </w:r>
      <w:r w:rsidR="00B66AF7" w:rsidRPr="00B66AF7">
        <w:t>Jomas/apakšjomas komersantu produktu grozs un tā attīstības un pielāgošanas iespējas globālajam tirgum</w:t>
      </w:r>
      <w:bookmarkEnd w:id="13"/>
    </w:p>
    <w:p w14:paraId="2DB24F0F" w14:textId="6AE27683" w:rsidR="002321F8" w:rsidRDefault="002321F8" w:rsidP="00B06515">
      <w:pPr>
        <w:pStyle w:val="Heading3"/>
      </w:pPr>
      <w:r>
        <w:t>Komersanti un to produktu grozs</w:t>
      </w:r>
      <w:r w:rsidR="00B66AF7">
        <w:t xml:space="preserve"> </w:t>
      </w:r>
    </w:p>
    <w:p w14:paraId="223A2D84" w14:textId="77777777" w:rsidR="008609BC" w:rsidRPr="008609BC" w:rsidRDefault="008609BC" w:rsidP="008609BC">
      <w:pPr>
        <w:rPr>
          <w:lang w:eastAsia="lv-LV"/>
        </w:rPr>
      </w:pPr>
      <w:r w:rsidRPr="008609BC">
        <w:rPr>
          <w:lang w:eastAsia="lv-LV"/>
        </w:rPr>
        <w:t>Pateicoties vēsturiskām tradīcijām, Latvijai ir stiprs ražošanas pamats farmācijas nozarē. Padomju laikos 25% no visām zāļu tehnoloģijām tika izstrādāta tieši Latvijā, kā arī bija ražots katrs ceturtais medicīniskais preparāts PSRS tirgum. Šobrīd P&amp;A notiek šādās jomās: mikrobioloģiskā sintēze, virusoloģija, fizioloģiski aktīvu vielu sintēze, bioorganiskā ķīmija, molekulārā bioloģija, ģenētika, biotehnoloģija, biomedicīna, magnētiskā bioloģija un citas.</w:t>
      </w:r>
    </w:p>
    <w:p w14:paraId="2CF0D40E" w14:textId="4442000D" w:rsidR="008609BC" w:rsidRDefault="008609BC" w:rsidP="008609BC">
      <w:r w:rsidRPr="008609BC">
        <w:t>Medicīnisko ierīču tirgu</w:t>
      </w:r>
      <w:r w:rsidR="00E7337B">
        <w:t>s apmērs tiek vērtēts aptuveni</w:t>
      </w:r>
      <w:r w:rsidRPr="008609BC">
        <w:t xml:space="preserve"> </w:t>
      </w:r>
      <w:r w:rsidR="00E7337B">
        <w:t>5 reizes</w:t>
      </w:r>
      <w:r w:rsidRPr="008609BC">
        <w:t xml:space="preserve"> mazāks nekā farmācijas. Vairāki farmācijas uzņēmumi ražo ne tikai farmaceitiskās pamatvielas un preparātus, bet arī medicīniskās ierīces. Tāpēc šie tirgi ir ļoti saistīti, un bieži vien to tendences arī ir līdzīgas.</w:t>
      </w:r>
    </w:p>
    <w:p w14:paraId="1E74ECFC" w14:textId="594ED952" w:rsidR="0041445E" w:rsidRPr="008609BC" w:rsidRDefault="0041445E" w:rsidP="00C948F2">
      <w:pPr>
        <w:jc w:val="left"/>
      </w:pPr>
      <w:r w:rsidRPr="00F04EB1">
        <w:lastRenderedPageBreak/>
        <w:t xml:space="preserve">Farmācija un medicīnisko ierīču ražošana ir vienas no nedaudzajām nozarēm, kuras veido tā saukto augsto tehnoloģiju sektoru Latvijā. Kaut arī šī sektora kopējais īpatsvars Latvijas apstrādes rūpniecībā </w:t>
      </w:r>
      <w:r w:rsidR="00AC3A5E">
        <w:t>ir</w:t>
      </w:r>
      <w:r w:rsidRPr="00F04EB1">
        <w:t xml:space="preserve"> tikai </w:t>
      </w:r>
      <w:r w:rsidR="00B00809">
        <w:t xml:space="preserve">8,7 </w:t>
      </w:r>
      <w:r w:rsidRPr="00F04EB1">
        <w:t>% (rēķinot pēc pievienotās vērtības nozarēs: farmācija un elektrisko un optisko iekārtu ražošana), investīcijas farmācijas uzņēmumos pētniecībā un attīstībā ir ievērojami lielākas nekā citās nozarēs.</w:t>
      </w:r>
    </w:p>
    <w:p w14:paraId="38B4D6F1" w14:textId="6C33F789" w:rsidR="008609BC" w:rsidRPr="008609BC" w:rsidRDefault="008609BC" w:rsidP="008609BC">
      <w:pPr>
        <w:rPr>
          <w:lang w:eastAsia="lv-LV"/>
        </w:rPr>
      </w:pPr>
      <w:r w:rsidRPr="008609BC">
        <w:rPr>
          <w:lang w:eastAsia="lv-LV"/>
        </w:rPr>
        <w:t>Latvijā darbojas vairākas inovatīvas un strauji augošas kompānijas, kas kļūst arvien populārākas arī ārzemēs. Tās specializējās biokosmētikā (Madara cosmetics,</w:t>
      </w:r>
      <w:r w:rsidR="00504DA2">
        <w:rPr>
          <w:lang w:eastAsia="lv-LV"/>
        </w:rPr>
        <w:t xml:space="preserve"> Nail Kinetics, Stenders)</w:t>
      </w:r>
      <w:r w:rsidRPr="008609BC">
        <w:rPr>
          <w:lang w:eastAsia="lv-LV"/>
        </w:rPr>
        <w:t xml:space="preserve">), profesionālā kosmētikā, fitofarmācijā (Solepharm, </w:t>
      </w:r>
      <w:r w:rsidR="00504DA2">
        <w:rPr>
          <w:lang w:eastAsia="lv-LV"/>
        </w:rPr>
        <w:t xml:space="preserve">Rīgas farmaceitiskā fabrika, </w:t>
      </w:r>
      <w:r w:rsidR="005100C1">
        <w:rPr>
          <w:lang w:eastAsia="lv-LV"/>
        </w:rPr>
        <w:t>Lotos Pharma</w:t>
      </w:r>
      <w:r w:rsidR="00504DA2">
        <w:rPr>
          <w:lang w:eastAsia="lv-LV"/>
        </w:rPr>
        <w:t xml:space="preserve">, </w:t>
      </w:r>
      <w:r w:rsidR="008C5A34">
        <w:rPr>
          <w:lang w:eastAsia="lv-LV"/>
        </w:rPr>
        <w:t xml:space="preserve"> MedPro Nutraceuticals</w:t>
      </w:r>
      <w:r w:rsidRPr="008609BC">
        <w:rPr>
          <w:lang w:eastAsia="lv-LV"/>
        </w:rPr>
        <w:t>), dzīves zinātņu produktos (Chromsword</w:t>
      </w:r>
      <w:r w:rsidR="008C5A34">
        <w:rPr>
          <w:lang w:eastAsia="lv-LV"/>
        </w:rPr>
        <w:t>, CellBox Lab</w:t>
      </w:r>
      <w:r w:rsidRPr="008609BC">
        <w:rPr>
          <w:lang w:eastAsia="lv-LV"/>
        </w:rPr>
        <w:t xml:space="preserve">), </w:t>
      </w:r>
      <w:r w:rsidR="00E34349">
        <w:rPr>
          <w:lang w:eastAsia="lv-LV"/>
        </w:rPr>
        <w:t>u.tml.</w:t>
      </w:r>
      <w:r w:rsidRPr="008609BC">
        <w:rPr>
          <w:lang w:eastAsia="lv-LV"/>
        </w:rPr>
        <w:t>.</w:t>
      </w:r>
    </w:p>
    <w:p w14:paraId="0CE95FF3" w14:textId="224CC9E2" w:rsidR="00B66AF7" w:rsidRPr="008609BC" w:rsidRDefault="00B66AF7" w:rsidP="008609BC">
      <w:pPr>
        <w:rPr>
          <w:lang w:eastAsia="lv-LV"/>
        </w:rPr>
      </w:pPr>
      <w:r>
        <w:t xml:space="preserve">Ķīmijas nozarē kopumā </w:t>
      </w:r>
      <w:r w:rsidR="005C76D0">
        <w:t xml:space="preserve">2020. gadā </w:t>
      </w:r>
      <w:r>
        <w:t>eksports veido</w:t>
      </w:r>
      <w:r w:rsidR="005100C1">
        <w:t>ja</w:t>
      </w:r>
      <w:r>
        <w:t xml:space="preserve"> vairāk nekā 75 % no kopējās saražotās produkcijas, farmācijā tas sasniedz 90%, bet kosmētikā – ap 70%. Līdz ar to gandrīz jebkurš produkts, kuru attīsta Latvijas </w:t>
      </w:r>
      <w:r w:rsidR="0092133C">
        <w:t xml:space="preserve">Farmācijas, biomedicīnas un medīcīnas tehnoloģiju kompetences centra </w:t>
      </w:r>
      <w:r>
        <w:t xml:space="preserve">uzņēmumi, ir paredzēts un pielāgojams tirgiem ārpus Latvijas. Daļā gadījumu tam nepieciešamas tikai marketinga komunikācijas uzlabojumi (iepakojums, reklāma utt), daļā papildus pasākumi pēc pētniecības veikšanas – aprobēšana vietējos tirgos, sertifikācija), taču nozares specifika liek </w:t>
      </w:r>
      <w:r w:rsidR="0092133C">
        <w:t xml:space="preserve">uzņēmumiem koncentrēties galvenokārt uz konkrētos mērķa tirgos orientētiem produktiem. </w:t>
      </w:r>
    </w:p>
    <w:p w14:paraId="166D53FA" w14:textId="77777777" w:rsidR="00CF394C" w:rsidRPr="00E16BC2" w:rsidRDefault="00CF394C" w:rsidP="00E16BC2">
      <w:pPr>
        <w:pStyle w:val="Heading4"/>
        <w:numPr>
          <w:ilvl w:val="3"/>
          <w:numId w:val="6"/>
        </w:numPr>
        <w:rPr>
          <w:rStyle w:val="Heading4Char"/>
          <w:sz w:val="28"/>
          <w:shd w:val="clear" w:color="auto" w:fill="FFFFFF"/>
        </w:rPr>
      </w:pPr>
      <w:r w:rsidRPr="00E16BC2">
        <w:rPr>
          <w:rStyle w:val="Heading4Char"/>
          <w:sz w:val="28"/>
          <w:shd w:val="clear" w:color="auto" w:fill="FFFFFF"/>
        </w:rPr>
        <w:t>Farmaceitisko pamatvielu un farmaceitisko preparātu ražošana, medicīnas tehnoloģiju ražošana</w:t>
      </w:r>
    </w:p>
    <w:p w14:paraId="16C9B66C" w14:textId="77777777" w:rsidR="00A426DF" w:rsidRDefault="00A426DF" w:rsidP="00A426DF">
      <w:pPr>
        <w:pStyle w:val="Uzmumanosaukums"/>
      </w:pPr>
      <w:r>
        <w:t>AS „Grindeks”</w:t>
      </w:r>
    </w:p>
    <w:p w14:paraId="536810D2" w14:textId="38229020" w:rsidR="00A426DF" w:rsidRDefault="00765242" w:rsidP="006F6EAC">
      <w:pPr>
        <w:tabs>
          <w:tab w:val="left" w:pos="4410"/>
        </w:tabs>
      </w:pPr>
      <w:r>
        <w:t>L</w:t>
      </w:r>
      <w:r w:rsidR="00A426DF">
        <w:t>ielākais farmācijas nozares uzņēmums. AS «Grindeks» ir starptautisks, vertikāli integrēts farmācijas uzņēmums Baltijas valstīs. Uzņēmuma galvenie darbības virzieni ir oriģinālproduktu, patentbrīvo un aktīvo farmaceitisko vielu pētniecība, izstrāde, ražošana un pārdošana. «Grindeks» specializējas sirds un asinsvadu, centrālo nervu sistēmu ietekmējošo un pretvēža medikamentu terapeitiskajās grupās.</w:t>
      </w:r>
    </w:p>
    <w:p w14:paraId="5A5A1BFC" w14:textId="75C9E2E9" w:rsidR="00A426DF" w:rsidRDefault="00A426DF" w:rsidP="00A426DF">
      <w:r>
        <w:t xml:space="preserve">«Grindeks» koncernā ietilpst 5 meitas uzņēmumi Latvijā, Igaunijā, Slovākijā un </w:t>
      </w:r>
      <w:hyperlink r:id="rId25" w:history="1">
        <w:r>
          <w:rPr>
            <w:rStyle w:val="Hyperlink"/>
          </w:rPr>
          <w:t>Krievijā</w:t>
        </w:r>
      </w:hyperlink>
      <w:r>
        <w:t xml:space="preserve">; </w:t>
      </w:r>
      <w:hyperlink r:id="rId26" w:history="1">
        <w:r>
          <w:rPr>
            <w:rStyle w:val="Hyperlink"/>
          </w:rPr>
          <w:t>pārstāvniecības</w:t>
        </w:r>
      </w:hyperlink>
      <w:r>
        <w:t xml:space="preserve"> ir atvērtas 13 valstīs. Produkcija tiek eksportēta uz 70 valstīm</w:t>
      </w:r>
      <w:r w:rsidR="00AD261A">
        <w:t>,</w:t>
      </w:r>
      <w:r>
        <w:t xml:space="preserve"> un veido 90% no kopējā apgrozījuma. Nozīmīgākie tirgi ir Eiropas Savienības valstis, Krievija un pārējās NVS valstis, ASV, Kanāda, Japāna un Vjetnama.</w:t>
      </w:r>
    </w:p>
    <w:p w14:paraId="4DF06844" w14:textId="4A43C9D7" w:rsidR="00A426DF" w:rsidRDefault="00A426DF" w:rsidP="00A426DF">
      <w:r>
        <w:t xml:space="preserve">«Grindeks» akcijas tiek kotētas NASDAQ OMX Rīgas </w:t>
      </w:r>
      <w:r w:rsidR="0049004E">
        <w:t>F</w:t>
      </w:r>
      <w:r>
        <w:t xml:space="preserve">ondu biržas Oficiālajā sarakstā.Produktu klāstu veido oriģinālprodukti </w:t>
      </w:r>
      <w:hyperlink r:id="rId27" w:history="1">
        <w:r>
          <w:rPr>
            <w:rStyle w:val="Hyperlink"/>
            <w:i/>
          </w:rPr>
          <w:t>Mildronāts®</w:t>
        </w:r>
      </w:hyperlink>
      <w:r>
        <w:t xml:space="preserve"> un</w:t>
      </w:r>
      <w:r>
        <w:rPr>
          <w:i/>
        </w:rPr>
        <w:t xml:space="preserve"> </w:t>
      </w:r>
      <w:hyperlink r:id="rId28" w:history="1">
        <w:r>
          <w:rPr>
            <w:rStyle w:val="Hyperlink"/>
            <w:i/>
          </w:rPr>
          <w:t>Ftorafur®</w:t>
        </w:r>
      </w:hyperlink>
      <w:r>
        <w:t>, un vairāk kā 100 patentbrīvo medikamentu formas.</w:t>
      </w:r>
      <w:r w:rsidR="006F6EAC">
        <w:t xml:space="preserve"> </w:t>
      </w:r>
      <w:r w:rsidR="006F6EAC" w:rsidRPr="006F6EAC">
        <w:t>Uzņēmumam ir pieredze projektu īstenošanā kompetences centra ietvaros.</w:t>
      </w:r>
      <w:r w:rsidR="00763074">
        <w:t xml:space="preserve"> </w:t>
      </w:r>
      <w:r w:rsidR="0045043C">
        <w:t xml:space="preserve">Uzņēmums </w:t>
      </w:r>
      <w:r w:rsidR="00763074">
        <w:t xml:space="preserve">AS “Grindeks” 4. kārtā ir paredzējis veikt </w:t>
      </w:r>
      <w:r w:rsidR="00BC5964">
        <w:t xml:space="preserve">vairākus </w:t>
      </w:r>
      <w:r w:rsidR="00007E6A">
        <w:t xml:space="preserve">starpnozaru un </w:t>
      </w:r>
      <w:r w:rsidR="00763074">
        <w:t>starptautisku</w:t>
      </w:r>
      <w:r w:rsidR="00BC5964">
        <w:t>s</w:t>
      </w:r>
      <w:r w:rsidR="00763074">
        <w:t xml:space="preserve"> pētījumu</w:t>
      </w:r>
      <w:r w:rsidR="00BC5964">
        <w:t>s</w:t>
      </w:r>
      <w:r w:rsidR="00763074">
        <w:t xml:space="preserve">. </w:t>
      </w:r>
    </w:p>
    <w:p w14:paraId="16BE3075" w14:textId="77777777" w:rsidR="00765242" w:rsidRDefault="00765242" w:rsidP="00765242">
      <w:pPr>
        <w:pStyle w:val="Uzmumanosaukums"/>
        <w:rPr>
          <w:shd w:val="clear" w:color="auto" w:fill="auto"/>
        </w:rPr>
      </w:pPr>
      <w:r>
        <w:lastRenderedPageBreak/>
        <w:t>AS „Olainfarm”</w:t>
      </w:r>
    </w:p>
    <w:p w14:paraId="1955BCFE" w14:textId="23E08164" w:rsidR="00765242" w:rsidRDefault="00765242" w:rsidP="00765242">
      <w:pPr>
        <w:rPr>
          <w:i/>
        </w:rPr>
      </w:pPr>
      <w:r>
        <w:t>Otrs lielākais</w:t>
      </w:r>
      <w:r w:rsidR="009F7D76">
        <w:t xml:space="preserve"> </w:t>
      </w:r>
      <w:r>
        <w:t xml:space="preserve">valsts farmācijas uzņēmums, kas specializējas medikamentos nervu sistēmas un sirds un asinsvadu veselībai, antibakteriālajos, pretvīrusu un pretalerģijas līdzekļos. Uzņēmums ir spējis kāpināt apgrozījumu pēdējos 5 gadus, 2014. gadā uzrādot EUR 81,7 miljonu apgrozījumu. AS „Olainfarm” kotējas </w:t>
      </w:r>
      <w:r>
        <w:rPr>
          <w:i/>
        </w:rPr>
        <w:t>NASDAQ OMX</w:t>
      </w:r>
      <w:r>
        <w:t xml:space="preserve"> </w:t>
      </w:r>
      <w:r>
        <w:rPr>
          <w:i/>
        </w:rPr>
        <w:t>Baltic</w:t>
      </w:r>
      <w:r>
        <w:t xml:space="preserve"> biržā un 3 gadu laikā tā akciju cena augusi par 99,71 %. Uzņēmums 2014. gadā nodarbināja vairāk nekā 1000 darbinieku. Lielākie „Olainfarm” eksporta tirgi ir Krievija, Ukraina, Baltkrievija, Kazahstāna, Lielbritānija, savukārt Latvijā tiek realizēti aptuveni 10 % no saražotās produkcijas. Uzņēmuma produktu portfelis sastāv no vairāk nekā 60 gatavo zāļu formām, 25 aktīvām farmaceitiskām vielām un vairāk nekā 20 pusproduktiem.</w:t>
      </w:r>
      <w:r>
        <w:rPr>
          <w:rFonts w:ascii="Open Sans" w:hAnsi="Open Sans"/>
          <w:color w:val="4C4C4C"/>
        </w:rPr>
        <w:t xml:space="preserve"> </w:t>
      </w:r>
      <w:r>
        <w:t xml:space="preserve">Patlaban tiek piedāvāti septiņi AS „Olainfarm” oriģinālprodukti </w:t>
      </w:r>
      <w:r>
        <w:rPr>
          <w:rFonts w:cstheme="minorHAnsi"/>
        </w:rPr>
        <w:t>—</w:t>
      </w:r>
      <w:r>
        <w:t xml:space="preserve"> </w:t>
      </w:r>
      <w:r>
        <w:rPr>
          <w:i/>
        </w:rPr>
        <w:t xml:space="preserve">Bikarfen, Etacizin, Noofen, Fenkarol, Furagin, Neiromidin, Adaptol. </w:t>
      </w:r>
      <w:r w:rsidRPr="006F6EAC">
        <w:t xml:space="preserve">Uzņēmumam ir pieredze projektu īstenošanā kompetences centra ietvaros. </w:t>
      </w:r>
      <w:r>
        <w:t>Uzņēmums AS “Olainfarm” 4. kārtā ir paredzējis veikt starptautiskus (starpnozaru) pētījumus.</w:t>
      </w:r>
    </w:p>
    <w:p w14:paraId="25A32003" w14:textId="77777777" w:rsidR="00765242" w:rsidRDefault="00765242" w:rsidP="00A426DF"/>
    <w:p w14:paraId="26A12165" w14:textId="77777777" w:rsidR="005100C1" w:rsidRDefault="005100C1" w:rsidP="005100C1">
      <w:pPr>
        <w:pStyle w:val="Uzmumanosaukums"/>
      </w:pPr>
      <w:r>
        <w:t>SIA „Pharmidea”</w:t>
      </w:r>
    </w:p>
    <w:p w14:paraId="0E8AEAD9" w14:textId="08CEFC06" w:rsidR="005100C1" w:rsidRDefault="005100C1" w:rsidP="005100C1">
      <w:r>
        <w:t>Trešais lielākais nozares spēlētājs, kura galvenie darbības virzieni ir hospitālo, ginekoloģisko un pretvēža medikamentu sterilo zāļu formu izstrāde, ražošana un pārdošana. Uzņēmums arī nodarbojas ar kontraktēšanu, tehnoloģijas izstrādi, validāciju, specifikācija uzlabošanu un citām darbībām produktu reģistrācijai. Uzņēmuma portfelī ir 4 produkti, kas ir reģistrēti 58 valstīs, bet izstrādes stadijā atrodas vēl 5. Galvenie eksporta tirgi ir ES</w:t>
      </w:r>
      <w:r w:rsidR="00841A76">
        <w:t xml:space="preserve"> valstis </w:t>
      </w:r>
      <w:r>
        <w:t>, Tuvie Austrumi</w:t>
      </w:r>
      <w:r w:rsidR="00841A76">
        <w:t xml:space="preserve"> ieskaitot Izraēlu</w:t>
      </w:r>
      <w:r>
        <w:t xml:space="preserve">, </w:t>
      </w:r>
      <w:r w:rsidR="00841A76">
        <w:t>Dienvid Austrumāzijas valstis, Šveice,  Zieme</w:t>
      </w:r>
      <w:r w:rsidR="00504DA2">
        <w:t xml:space="preserve">ļ </w:t>
      </w:r>
      <w:r w:rsidR="00841A76">
        <w:t>Āfrikas regiona</w:t>
      </w:r>
      <w:r>
        <w:t xml:space="preserve"> valstis. Uzņēmuma plānos sasniegt produktu reģistrāciju arī ģeogrāfiski attālinātos reģionos – Dienvidāfrikā, </w:t>
      </w:r>
      <w:r w:rsidR="00841A76">
        <w:t>Ķīnā</w:t>
      </w:r>
      <w:r>
        <w:t>, Kanādā un Meksikā.</w:t>
      </w:r>
    </w:p>
    <w:p w14:paraId="7FD50F64" w14:textId="77777777" w:rsidR="005100C1" w:rsidRDefault="005100C1" w:rsidP="00A426DF"/>
    <w:p w14:paraId="235AFD9F" w14:textId="77777777" w:rsidR="00A426DF" w:rsidRDefault="00A426DF" w:rsidP="00A426DF">
      <w:pPr>
        <w:pStyle w:val="Uzmumanosaukums"/>
      </w:pPr>
      <w:r>
        <w:t>SIA „Silvanols”</w:t>
      </w:r>
    </w:p>
    <w:p w14:paraId="74C07661" w14:textId="07A71626" w:rsidR="00A426DF" w:rsidRDefault="00841A76" w:rsidP="00A426DF">
      <w:r>
        <w:t xml:space="preserve">Ceturtais </w:t>
      </w:r>
      <w:r w:rsidR="00A426DF">
        <w:t xml:space="preserve">lielākais farmācijas nozares uzņēmums, kas pieder AS “Olainfarm”. Uzņēmums stabili attīstās, veiksmīgi apgūstot ārvalstu tirgos. Tā 2014. gada apgrozījums kāpis par 20,4%, un 2015. gadā tā plānotai izaugsmei būtu jāsasniedz 25%, tomēr tā īpatsvars Latvijas farmācijas nozarē ir </w:t>
      </w:r>
      <w:r w:rsidR="009753B9">
        <w:t>aptuveni</w:t>
      </w:r>
      <w:r w:rsidR="00A426DF">
        <w:t xml:space="preserve"> 2%. Uzņēmums ražo dabiskas izcelsmes uztura bagātinātājus, medicīniskās ierīces un zāles. Tā produkti tiek eksportēti uz 13 valstīm Dienvideiropā un bijušajām PSRS valstīm.</w:t>
      </w:r>
      <w:r w:rsidR="006F6EAC">
        <w:t xml:space="preserve"> </w:t>
      </w:r>
      <w:r w:rsidR="006F6EAC" w:rsidRPr="006F6EAC">
        <w:t>Uzņēmumam ir pieredze projektu īstenošanā kompetences centra ietvaros.</w:t>
      </w:r>
    </w:p>
    <w:p w14:paraId="5C3D77C1" w14:textId="77777777" w:rsidR="00A426DF" w:rsidRPr="00A426DF" w:rsidRDefault="00A426DF" w:rsidP="00A426DF">
      <w:pPr>
        <w:pStyle w:val="Uzmumanosaukums"/>
      </w:pPr>
      <w:r w:rsidRPr="00A426DF">
        <w:t>AS “Rīgas farmaceitiskā fabrika”</w:t>
      </w:r>
    </w:p>
    <w:p w14:paraId="3EE1991B" w14:textId="292ABA81" w:rsidR="00A426DF" w:rsidRDefault="00A426DF" w:rsidP="00013AD7">
      <w:r>
        <w:t xml:space="preserve">Kopējā Latvijas valsts farmaceitisko preparātu ražošanā RFF ieņem nozīmīgu vietu, un ir viens no lielākajiem augu valsts ārstnieciskos līdzekļus (herbal medicines) ražotājiem Baltijā. Ārstniecības līdzekļi, kuru receptūrā ietilpst ārstniecības augu drogas vai to pārstrādes rezultatā iegūtas vielas, veido ap 80% no fabrikas kopprodukcijas. AS "Rīgas farmaceitiskā fabrika" piedāvā vairāk nekā 90 nosaukumu drošu ārstniecības līdzekļu: tinktūras, ekstraktus, šķidrumus iekšķīgai lietošanai, šķidrumus ārīgai lietošanai, sīrupus, ziedes, pulverus, sausās mikstūras, eļļas, drogas, uztura bagātinātājus, grūtniecības noteikšanas testus, fasētas aktīvās farmaceitiskās vielas. Kompānija savu produkciju piegādā galvenokārt Baltijas valstīm (Latvijas Lietuva, Igaunija). AS Rīgas Farmaceitiskā Fabrika piedāvā arī pakalpojumus kontraktražošanas jomā, zāļu un </w:t>
      </w:r>
      <w:hyperlink r:id="rId29" w:history="1">
        <w:r w:rsidRPr="008D4E81">
          <w:t>u</w:t>
        </w:r>
      </w:hyperlink>
      <w:r>
        <w:t xml:space="preserve">ztura bagātinātāju izstrādes un ražošanas jomā, kontraktražošanā un CTD izstrādē. </w:t>
      </w:r>
    </w:p>
    <w:p w14:paraId="7D4493B1" w14:textId="5848F926" w:rsidR="00A36C1B" w:rsidRPr="00593749" w:rsidRDefault="00A36C1B" w:rsidP="00A36C1B">
      <w:pPr>
        <w:pStyle w:val="Uzmumanosaukums"/>
      </w:pPr>
      <w:r w:rsidRPr="00593749">
        <w:lastRenderedPageBreak/>
        <w:t>SIA “</w:t>
      </w:r>
      <w:r w:rsidR="00686285" w:rsidRPr="00686285">
        <w:t>LabochemLV</w:t>
      </w:r>
      <w:r w:rsidRPr="00593749">
        <w:t>”</w:t>
      </w:r>
    </w:p>
    <w:p w14:paraId="07414364" w14:textId="53F66C27" w:rsidR="002B251F" w:rsidRPr="002319D2" w:rsidRDefault="00686285" w:rsidP="009D7F6C">
      <w:pPr>
        <w:ind w:right="61"/>
      </w:pPr>
      <w:r w:rsidRPr="00686285">
        <w:rPr>
          <w:szCs w:val="24"/>
          <w:lang w:eastAsia="lv-LV"/>
        </w:rPr>
        <w:t>SIA LabochemLV ir privāta zinātniska firma, kas nodarbojas ar pētniecības un attīstības projektiem ķīmijā</w:t>
      </w:r>
      <w:r w:rsidR="00DA5EF3">
        <w:rPr>
          <w:szCs w:val="24"/>
          <w:lang w:eastAsia="lv-LV"/>
        </w:rPr>
        <w:t>, nodrošinot sintēz</w:t>
      </w:r>
      <w:r w:rsidR="00310813">
        <w:rPr>
          <w:szCs w:val="24"/>
          <w:lang w:eastAsia="lv-LV"/>
        </w:rPr>
        <w:t xml:space="preserve">es </w:t>
      </w:r>
      <w:r w:rsidR="00DA5EF3" w:rsidRPr="00DA5EF3">
        <w:rPr>
          <w:szCs w:val="24"/>
          <w:lang w:eastAsia="lv-LV"/>
        </w:rPr>
        <w:t>(organiska/neorganiska) pēc individuāla pasūtījuma</w:t>
      </w:r>
      <w:r w:rsidR="00310813">
        <w:rPr>
          <w:szCs w:val="24"/>
          <w:lang w:eastAsia="lv-LV"/>
        </w:rPr>
        <w:t xml:space="preserve">, elementanalīzes, </w:t>
      </w:r>
      <w:r w:rsidR="008A792B">
        <w:rPr>
          <w:szCs w:val="24"/>
          <w:lang w:eastAsia="lv-LV"/>
        </w:rPr>
        <w:t xml:space="preserve">dažāda veida spektrālo analīzi u.tml. </w:t>
      </w:r>
      <w:r w:rsidR="00CB7406">
        <w:rPr>
          <w:szCs w:val="24"/>
          <w:lang w:eastAsia="lv-LV"/>
        </w:rPr>
        <w:t xml:space="preserve"> </w:t>
      </w:r>
      <w:r w:rsidR="00CB7406" w:rsidRPr="006F6EAC">
        <w:t>Uzņēmumam ir pieredze projektu īstenošanā kompetences centra ietvaros.</w:t>
      </w:r>
    </w:p>
    <w:p w14:paraId="116654EF" w14:textId="77777777" w:rsidR="002B251F" w:rsidRDefault="002B251F" w:rsidP="004C3082">
      <w:pPr>
        <w:ind w:right="61"/>
        <w:rPr>
          <w:szCs w:val="24"/>
          <w:lang w:eastAsia="lv-LV"/>
        </w:rPr>
      </w:pPr>
    </w:p>
    <w:p w14:paraId="09A57082" w14:textId="77777777" w:rsidR="00CF394C" w:rsidRPr="00B81751" w:rsidRDefault="00CF394C" w:rsidP="00B81751">
      <w:pPr>
        <w:pStyle w:val="Heading4"/>
        <w:numPr>
          <w:ilvl w:val="3"/>
          <w:numId w:val="6"/>
        </w:numPr>
        <w:rPr>
          <w:rStyle w:val="Heading4Char"/>
          <w:b/>
          <w:sz w:val="28"/>
          <w:shd w:val="clear" w:color="auto" w:fill="FFFFFF"/>
        </w:rPr>
      </w:pPr>
      <w:r w:rsidRPr="00B81751">
        <w:rPr>
          <w:rStyle w:val="Heading4Char"/>
          <w:b/>
          <w:sz w:val="28"/>
          <w:shd w:val="clear" w:color="auto" w:fill="FFFFFF"/>
        </w:rPr>
        <w:t>Kosmētika</w:t>
      </w:r>
    </w:p>
    <w:p w14:paraId="1A00011F" w14:textId="77777777" w:rsidR="00CF394C" w:rsidRPr="00D647A1" w:rsidRDefault="00CF394C" w:rsidP="00CF394C">
      <w:pPr>
        <w:pStyle w:val="Uzmumanosaukums"/>
      </w:pPr>
      <w:r w:rsidRPr="00D647A1">
        <w:t xml:space="preserve">SIA „Madara Cosmetics” </w:t>
      </w:r>
    </w:p>
    <w:p w14:paraId="0D37D386" w14:textId="3A852D9A" w:rsidR="00CF394C" w:rsidRDefault="00CF394C" w:rsidP="00CF394C">
      <w:r>
        <w:t>Viens no lielākajiem kosmētikas ražotājiem Latvijā. Uzņēmuma apgrozījums un rentabilitāte turpin</w:t>
      </w:r>
      <w:r w:rsidR="00AC3A5E">
        <w:t>a</w:t>
      </w:r>
      <w:r>
        <w:t xml:space="preserve"> augt. “Madara Cosmetics” specializējas ekoloģisko ādas kopšanas līdzekļu ražošanā, un to produkti aizņem tā saukto </w:t>
      </w:r>
      <w:r w:rsidRPr="00095612">
        <w:rPr>
          <w:rStyle w:val="Emphasis"/>
        </w:rPr>
        <w:t>masstige</w:t>
      </w:r>
      <w:r>
        <w:t xml:space="preserve"> nišu, kas ir augstākās kvalitātes produkti orientēti </w:t>
      </w:r>
      <w:r w:rsidR="00AC3A5E">
        <w:t>uz</w:t>
      </w:r>
      <w:r>
        <w:t xml:space="preserve"> masveida tirgu. 65% no uzņēmuma produkcijas tiek eksportēts uz 25 citām valstīm, padarot šo zīmolu par vienu no Latvijas atpazīstamākajiem ārzemēs. Lielākie eksporta tirgi ir Skandināvija, Vācija, Nīderlande, Šveice un Japāna.</w:t>
      </w:r>
      <w:r w:rsidR="002A7690">
        <w:t xml:space="preserve"> </w:t>
      </w:r>
      <w:r w:rsidR="002A7690" w:rsidRPr="006F6EAC">
        <w:t>Uzņēmumam ir pieredze projektu īstenošanā kompetences centra ietvaros.</w:t>
      </w:r>
      <w:r w:rsidR="006209D6">
        <w:t xml:space="preserve"> </w:t>
      </w:r>
    </w:p>
    <w:p w14:paraId="3FA278EB" w14:textId="77777777" w:rsidR="009F7D76" w:rsidRPr="00D647A1" w:rsidRDefault="009F7D76" w:rsidP="009F7D76">
      <w:pPr>
        <w:pStyle w:val="Uzmumanosaukums"/>
      </w:pPr>
      <w:r w:rsidRPr="00D647A1">
        <w:t xml:space="preserve">SIA „Stenders” </w:t>
      </w:r>
    </w:p>
    <w:p w14:paraId="5705A2FD" w14:textId="77777777" w:rsidR="009F7D76" w:rsidRPr="007F6A33" w:rsidRDefault="009F7D76" w:rsidP="009F7D76">
      <w:pPr>
        <w:rPr>
          <w:color w:val="FF0000"/>
        </w:rPr>
      </w:pPr>
      <w:r w:rsidRPr="00D647A1">
        <w:t>Pēdējos gados strauji popularitāti Latvijā iemantojis uzņēmums, kurš pārstāvēts vairāk nekā 23 pasaules valstīs. Uzņēmums 2015. gadā strādājis ar neto zaudējumiem, taču tie samazinājās no iepriekšējā gada. SIA „Stenders” turpina investēt jaunu produktu līniju attīstībā</w:t>
      </w:r>
      <w:r>
        <w:t>.</w:t>
      </w:r>
      <w:r w:rsidRPr="00A3692A">
        <w:t xml:space="preserve"> Uzņēmuma pieder vairāk par 225 pašu un franšīzes veikalu 22 valstīs. Produkcijas realizācija Ķīnā, Krievijā un citās NVS valstīs veido vairāk par pusi no tā apgrozījuma. Stenders produkcija ietver vairāk par 350 produktiem ķermeņa kopšanai, vannas piederumiem un aromaterapījas produktiem.</w:t>
      </w:r>
    </w:p>
    <w:p w14:paraId="4CBC1DC3" w14:textId="77777777" w:rsidR="009F7D76" w:rsidRPr="00872550" w:rsidRDefault="009F7D76" w:rsidP="00CF394C"/>
    <w:p w14:paraId="3428E11F" w14:textId="179B6329" w:rsidR="002321F8" w:rsidRDefault="002321F8" w:rsidP="002321F8">
      <w:pPr>
        <w:pStyle w:val="Heading3"/>
      </w:pPr>
      <w:r>
        <w:t>Pētnieciskās organizācijas un augstākās izglītības iestādes</w:t>
      </w:r>
    </w:p>
    <w:p w14:paraId="2161AC65" w14:textId="1061ECF1" w:rsidR="00CA6468" w:rsidRDefault="00CA6468" w:rsidP="00CA6468">
      <w:pPr>
        <w:pStyle w:val="Heading3"/>
        <w:numPr>
          <w:ilvl w:val="3"/>
          <w:numId w:val="6"/>
        </w:numPr>
      </w:pPr>
      <w:r>
        <w:t>Izglītības iestādes</w:t>
      </w:r>
    </w:p>
    <w:p w14:paraId="06356C2E" w14:textId="474AA6FB" w:rsidR="00CA6468" w:rsidRPr="00CA6468" w:rsidRDefault="00CA6468" w:rsidP="00CA6468">
      <w:r w:rsidRPr="00CA6468">
        <w:rPr>
          <w:b/>
          <w:color w:val="4472C4" w:themeColor="accent5"/>
        </w:rPr>
        <w:t>Rīgas Stradiņa universitāte</w:t>
      </w:r>
      <w:r w:rsidRPr="00CA6468">
        <w:t xml:space="preserve"> ir izvēlējusies stratēģisku specializāciju dzīvības zinātnēs un attiecīgi tās lielākais studējošo skaits ir studiju programmās, kuras ir saistītas ar dzīvības zinātnēm (šeit norādītas studiju programmas, kuras attiecas uz veselības tehnoloģiju ekosistēmu). </w:t>
      </w:r>
    </w:p>
    <w:p w14:paraId="4A83D72F" w14:textId="77777777" w:rsidR="00CA6468" w:rsidRPr="00CA6468" w:rsidRDefault="00CA6468" w:rsidP="00CA6468">
      <w:r w:rsidRPr="00CA6468">
        <w:t>Pamatstudiju programmas: farmācija, medicīna, pediatrija, audiologopēdija, ergoterapija, fizioterapija, uzturs, ortozēšana protezēšana, māszinības, vecmāte, sabiedrības veselība, veselības sports, zobārstniecība</w:t>
      </w:r>
    </w:p>
    <w:p w14:paraId="3EE301F0" w14:textId="77777777" w:rsidR="00CA6468" w:rsidRPr="00CA6468" w:rsidRDefault="00CA6468" w:rsidP="00CA6468">
      <w:r w:rsidRPr="00CA6468">
        <w:t>Maģistra studiju programmas: biomedicīna, fizioterapija, klīniskā farmācija, rūpnieciskā farmācija, māszinības, sabiedrības veselība, uzturzinātne</w:t>
      </w:r>
    </w:p>
    <w:p w14:paraId="25CE2231" w14:textId="77777777" w:rsidR="00CA6468" w:rsidRPr="00CA6468" w:rsidRDefault="00CA6468" w:rsidP="00CA6468">
      <w:r w:rsidRPr="00CA6468">
        <w:t>Doktorantūra: medicīna, farmācija</w:t>
      </w:r>
    </w:p>
    <w:p w14:paraId="7E2945A6" w14:textId="6C7BEEBA" w:rsidR="00CA6468" w:rsidRPr="00CA6468" w:rsidRDefault="00CA6468" w:rsidP="00CA6468">
      <w:r w:rsidRPr="00CA6468">
        <w:t>RSU izglītības loma veselības tehnoloģiju ekosistēmā ir pirmā, otrā un trešā līmeņa izglītības programmās sagatavot speciālistus, kuri strādās klīniskajā medicīnā vai sabiedrības veselības politikas veidošanā, vai veiks pētniecisko darbu šajās jomās.</w:t>
      </w:r>
    </w:p>
    <w:p w14:paraId="651A7D4D" w14:textId="2684F8B9" w:rsidR="00CA6468" w:rsidRPr="00CA6468" w:rsidRDefault="00CA6468" w:rsidP="00CA6468">
      <w:r w:rsidRPr="00EC05E5">
        <w:rPr>
          <w:b/>
          <w:color w:val="4472C4" w:themeColor="accent5"/>
        </w:rPr>
        <w:t xml:space="preserve">Latvijas </w:t>
      </w:r>
      <w:r w:rsidR="00C73FF4">
        <w:rPr>
          <w:b/>
          <w:color w:val="4472C4" w:themeColor="accent5"/>
        </w:rPr>
        <w:t>U</w:t>
      </w:r>
      <w:r w:rsidRPr="00EC05E5">
        <w:rPr>
          <w:b/>
          <w:color w:val="4472C4" w:themeColor="accent5"/>
        </w:rPr>
        <w:t>niversitātes</w:t>
      </w:r>
      <w:r w:rsidRPr="00CA6468">
        <w:t xml:space="preserve"> studiju programmas, kuras attiecas uz veselības tehnoloģiju ekosistēmu.</w:t>
      </w:r>
    </w:p>
    <w:p w14:paraId="4445DA4D" w14:textId="77777777" w:rsidR="00CA6468" w:rsidRPr="00CA6468" w:rsidRDefault="00CA6468" w:rsidP="00CA6468">
      <w:r w:rsidRPr="00CA6468">
        <w:lastRenderedPageBreak/>
        <w:t>Pamatstudiju programmas: bioloģija, datorzinātnes, programmēšana un datortīklu administrēšana, fizika, matemātiķis-statistiķis, optometrija, ķīmija, ārstniecība, farmācija, māszinības, zobārstniecība</w:t>
      </w:r>
    </w:p>
    <w:p w14:paraId="46D481F5" w14:textId="77777777" w:rsidR="00CA6468" w:rsidRPr="00CA6468" w:rsidRDefault="00CA6468" w:rsidP="00CA6468">
      <w:r w:rsidRPr="00CA6468">
        <w:t>Maģistra studiju programmas: bioloģija, uzturzinātne, datorzinātnes, fizika, optometrija, ķīmija, farmācija, māszinības</w:t>
      </w:r>
    </w:p>
    <w:p w14:paraId="618A6081" w14:textId="77777777" w:rsidR="00CA6468" w:rsidRPr="00CA6468" w:rsidRDefault="00CA6468" w:rsidP="00CA6468">
      <w:r w:rsidRPr="00CA6468">
        <w:t xml:space="preserve">Doktorantūra: bioloģija, datorzinātne, ķīmija, </w:t>
      </w:r>
    </w:p>
    <w:p w14:paraId="15F4D429" w14:textId="7A4B311F" w:rsidR="00CA6468" w:rsidRPr="00CA6468" w:rsidRDefault="00CA6468" w:rsidP="00CA6468">
      <w:r w:rsidRPr="00CA6468">
        <w:t>LU izglītības loma veselības tehnoloģiju ekosistēmā ir pirmā, otrā un trešā līmeņa izglītības programmās sagatavot speciālistus, kuri strādās un veiks pētniecību klīniskajā medicīnā, bioloģijā, informācijas un komunikācijas tehnoloģiju jomā un ķīmijā. IKT joma ir būtiska daļa veselības tehnoloģiju ekosistēmā, attīstoties connected health risinājumiem, telemedicīnai un lielo datu apkopošanai un apstrādei. Bioloģijas un ķīmijas speciālisti piedalās veselības tehnoloģiju ekosistēmā farmācijas, biomateriālu un biomedicīnas virzienos.</w:t>
      </w:r>
    </w:p>
    <w:p w14:paraId="0CE91677" w14:textId="65196F9C" w:rsidR="00CA6468" w:rsidRPr="00CA6468" w:rsidRDefault="00CA6468" w:rsidP="00CA6468">
      <w:r w:rsidRPr="00EC05E5">
        <w:rPr>
          <w:b/>
          <w:color w:val="4472C4" w:themeColor="accent5"/>
        </w:rPr>
        <w:t>Rīgas Tehniskās universitātes</w:t>
      </w:r>
      <w:r w:rsidRPr="00CA6468">
        <w:t xml:space="preserve"> studiju programmas, kuras attiecas uz veselības tehnoloģiju ekosistēmu.</w:t>
      </w:r>
    </w:p>
    <w:p w14:paraId="650F94B7" w14:textId="77777777" w:rsidR="00CA6468" w:rsidRPr="00CA6468" w:rsidRDefault="00CA6468" w:rsidP="00CA6468">
      <w:r w:rsidRPr="00CA6468">
        <w:t>Pamatstudiju programmas: automātika un datortehnika, datorsistēmas, elektronika un mobilie sakari, finanšu inženierija, informācijas tehnoloģija, ķīmija, ķīmijas tehnoloģijas, materiālzinātne, medicīnas inženierija un fizika, telekomunikācijas,</w:t>
      </w:r>
    </w:p>
    <w:p w14:paraId="21C9273E" w14:textId="77777777" w:rsidR="00CA6468" w:rsidRPr="00CA6468" w:rsidRDefault="00CA6468" w:rsidP="00CA6468">
      <w:r w:rsidRPr="00CA6468">
        <w:t>Maģistra studiju programmas: automātika un datortehnika, biznesa informātika, datorsistēmas, elektronika, informācijas tehnoloģija, ķīmija, ķīmijas tehnoloģijas, materiālzinātnes, medicīnas inženierija un fizika, telekomunikācijas,</w:t>
      </w:r>
    </w:p>
    <w:p w14:paraId="3CF34B8B" w14:textId="77777777" w:rsidR="00CA6468" w:rsidRPr="00CA6468" w:rsidRDefault="00CA6468" w:rsidP="00CA6468">
      <w:r w:rsidRPr="00CA6468">
        <w:t>Doktorantūra: automātika un datortehnika, datorsistēmas, elektronika, informācijas tehnoloģija, ķīmija, ķīmijas tehnoloģijas, materiālzinātnes, telekomunikācijas,</w:t>
      </w:r>
    </w:p>
    <w:p w14:paraId="6F42F41B" w14:textId="53CA69FD" w:rsidR="00CA6468" w:rsidRPr="00CA6468" w:rsidRDefault="00CA6468" w:rsidP="00CA6468">
      <w:r w:rsidRPr="00CA6468">
        <w:t>RTU izglītības loma veselības tehnoloģiju ekosistēmā ir pirmā, otrā un trešā līmeņa izglītības programmās sagatavot speciālistus, kuri strādās un veiks pētniecību informācijas un komunikācijas tehnoloģiju jomā un ķīmijā. IKT joma ir būtiska daļa veselības tehnoloģiju ekosistēmā, attīstoties connected health risinājumiem, telemedicīnai un lielo datu apkopošanai un apstrādei. Ķīmijas speciālisti piedalās veselības tehnoloģiju ekosistēmā farmācijas un biomateriālu virzienos. Materiālzinātnes, medicīnas inženierija un fizikas speciālisti ekosistēmā darbojas medicīnas ierīču izstrādē.</w:t>
      </w:r>
    </w:p>
    <w:p w14:paraId="526FD8BB" w14:textId="22E4C952" w:rsidR="00CA6468" w:rsidRDefault="00CA6468" w:rsidP="00D83414">
      <w:r w:rsidRPr="00EC05E5">
        <w:rPr>
          <w:b/>
          <w:color w:val="4472C4" w:themeColor="accent5"/>
        </w:rPr>
        <w:t>LU Medicīnas pēcdiploma izglītības institūts</w:t>
      </w:r>
      <w:r w:rsidRPr="00CA6468">
        <w:t xml:space="preserve"> - LU dibināts institūts, kurš veic pēcdiploma apmācību medicīnā – rezidentu apmācību un dažādus tālākizglītības kursus</w:t>
      </w:r>
      <w:r>
        <w:t>.</w:t>
      </w:r>
    </w:p>
    <w:p w14:paraId="6CFC3045" w14:textId="1BB411E1" w:rsidR="00CA6468" w:rsidRDefault="00CA6468" w:rsidP="00CA6468">
      <w:pPr>
        <w:pStyle w:val="Heading3"/>
        <w:numPr>
          <w:ilvl w:val="3"/>
          <w:numId w:val="6"/>
        </w:numPr>
      </w:pPr>
      <w:r>
        <w:t>Zinā</w:t>
      </w:r>
      <w:r w:rsidR="00081A21">
        <w:t>t</w:t>
      </w:r>
      <w:r>
        <w:t>niskās institūcijas</w:t>
      </w:r>
    </w:p>
    <w:p w14:paraId="49B774F6" w14:textId="347FAC69" w:rsidR="00CA6468" w:rsidRDefault="00CA6468" w:rsidP="00EC05E5">
      <w:pPr>
        <w:pStyle w:val="Uzmumanosaukums"/>
      </w:pPr>
      <w:r w:rsidRPr="00CA6468">
        <w:t>Rīgas Stradiņa universitāte</w:t>
      </w:r>
    </w:p>
    <w:p w14:paraId="56DF7DAB" w14:textId="77777777" w:rsidR="00CA6468" w:rsidRPr="00CA6468" w:rsidRDefault="00CA6468" w:rsidP="00CA6468">
      <w:r w:rsidRPr="00CA6468">
        <w:t>RSU prioritārie pētniecības virzieni: bioloģisko novecošanās procesu faktori un dzīves kvalitāte Latvijas populācijā; uz strukturāliem, funkcionāliem un biomehāniskiem pētījumiem balstīta saslimšanu diagnostikas un ārstēšanas algoritmu izstrāde; Latvijas iedzīvotāju veselību apdraudošo eksogēno un endogēno faktoru izpēte; infekcijas aģentu loma mūsdienu skatījumā Latvijā aktuālu infekciju izcelsmē un norisē; bērnu mirstību un invaliditāti izraisošo faktoru izpēte; ļaundabīgo audzēju klīnisko un molekulāro īpatnību izpēte agrīnas diagnostikas un ārstēšanas stratēģijas uzlabošanā; sejas žokļu deformāciju un anomāliju imūnhistoķīmiski, radioloģiski un klīniski pētījumi; veselības traucējumu radīto funkcionālo ierobežojumu klīniskā epidemioloģija Latvijā; globalizācijas sociālās, ekonomiskās, tiesiskās un medicīniskās problēmas.</w:t>
      </w:r>
    </w:p>
    <w:p w14:paraId="372A4DEC" w14:textId="6667265B" w:rsidR="00CA6468" w:rsidRPr="00CA6468" w:rsidRDefault="00CA6468" w:rsidP="00CA6468">
      <w:r w:rsidRPr="00CA6468">
        <w:lastRenderedPageBreak/>
        <w:t>Personāla resursi (2014.</w:t>
      </w:r>
      <w:r w:rsidR="00E16246">
        <w:t xml:space="preserve"> </w:t>
      </w:r>
      <w:r w:rsidRPr="00CA6468">
        <w:t>g., PLE): zinātniskais personāls 176, no tiem ar doktora grādu 68</w:t>
      </w:r>
    </w:p>
    <w:p w14:paraId="76471763" w14:textId="3AB4D560" w:rsidR="00CA6468" w:rsidRPr="00CA6468" w:rsidRDefault="00CA6468" w:rsidP="00EC05E5">
      <w:pPr>
        <w:pStyle w:val="Uzmumanosaukums"/>
      </w:pPr>
      <w:r w:rsidRPr="00CA6468">
        <w:t>LU Matemātikas un informātikas institūts</w:t>
      </w:r>
    </w:p>
    <w:p w14:paraId="466A85BD" w14:textId="71B72340" w:rsidR="00CA6468" w:rsidRPr="00CA6468" w:rsidRDefault="00CA6468" w:rsidP="00CA6468">
      <w:r w:rsidRPr="00CA6468">
        <w:t>Ar ekosistēmu saistītie pētniecības virzieni: bioinformātika (gēnu regulācijas tīklu modelēšana un metožu izstrāde tīklu uzvedības un stabilitātes analīzei, kā arī uz evolūciju balstītu metožu izstrāde proteīnu struktūru salīdzināšanai un analīzei; datu noliktavu un programmatūras izstrāde integrētai molekulārās bioloģijas datu uzkrāšanai un analīzei); e-infrastruktūras attīstīšana.</w:t>
      </w:r>
    </w:p>
    <w:p w14:paraId="74295BE4" w14:textId="6C59A9E0" w:rsidR="00CA6468" w:rsidRPr="00CA6468" w:rsidRDefault="00CA6468" w:rsidP="00EC05E5">
      <w:pPr>
        <w:pStyle w:val="Uzmumanosaukums"/>
      </w:pPr>
      <w:r w:rsidRPr="00CA6468">
        <w:t>Organiskās sintēzes institūts</w:t>
      </w:r>
    </w:p>
    <w:p w14:paraId="46D6E126" w14:textId="14047C65" w:rsidR="00CA6468" w:rsidRPr="00CA6468" w:rsidRDefault="00CA6468" w:rsidP="00CA6468">
      <w:r w:rsidRPr="00CA6468">
        <w:t>Inovatīva organiskās ķīmijas un farmakoloģijas akadēmiskās pētniecības apvienošana ar kompetenci medicīnas ķīmijas pielietojamās pētniecības uzdevumu risināšanā; pilna apjoma pētnieciskie darbi, kas nepieciešami jaunu zāļu izstrādes un ieviešanas nodrošināšanai</w:t>
      </w:r>
    </w:p>
    <w:p w14:paraId="0B24DE33" w14:textId="1D3BA3B2" w:rsidR="00CA6468" w:rsidRPr="00CA6468" w:rsidRDefault="00CA6468" w:rsidP="00EC05E5">
      <w:pPr>
        <w:pStyle w:val="Uzmumanosaukums"/>
      </w:pPr>
      <w:r w:rsidRPr="00CA6468">
        <w:t>Pārtikas drošības, dzīvnieku veselības un vides zinātniskais institūts BIOR</w:t>
      </w:r>
    </w:p>
    <w:p w14:paraId="20592435" w14:textId="0FC53B28" w:rsidR="00CA6468" w:rsidRPr="00CA6468" w:rsidRDefault="00CA6468" w:rsidP="00CA6468">
      <w:r w:rsidRPr="00CA6468">
        <w:t>BIOR kompetencē ir pārtikas kvalitāte, drošība, ražošanas tehnoloģijas un risku novērtēšana</w:t>
      </w:r>
      <w:r w:rsidR="006B31AE">
        <w:t>,</w:t>
      </w:r>
      <w:r w:rsidRPr="00CA6468">
        <w:t xml:space="preserve"> veterinārmedicīna, infekcijas slimības un to risku novērtēšana; sabiedrības veselība un vide</w:t>
      </w:r>
      <w:r w:rsidR="000F60A6">
        <w:t>.</w:t>
      </w:r>
    </w:p>
    <w:p w14:paraId="4997887B" w14:textId="14F222EE" w:rsidR="00C40C44" w:rsidRPr="00CA6468" w:rsidRDefault="00C40C44" w:rsidP="00EC05E5">
      <w:pPr>
        <w:pStyle w:val="Uzmumanosaukums"/>
      </w:pPr>
      <w:r w:rsidRPr="002319D2">
        <w:rPr>
          <w:b w:val="0"/>
        </w:rPr>
        <w:t>Rīgas Tehniskā universitāte</w:t>
      </w:r>
      <w:r w:rsidRPr="00A503BC">
        <w:t xml:space="preserve"> </w:t>
      </w:r>
      <w:r>
        <w:t>(RTU)</w:t>
      </w:r>
    </w:p>
    <w:p w14:paraId="7012B787" w14:textId="4DF9C91C" w:rsidR="00F82DF3" w:rsidRPr="0009188D" w:rsidRDefault="00C40C44" w:rsidP="00F82DF3">
      <w:r>
        <w:t>RTU</w:t>
      </w:r>
      <w:r w:rsidR="00F82DF3" w:rsidRPr="00C40C44">
        <w:t xml:space="preserve"> ir</w:t>
      </w:r>
      <w:r w:rsidR="00F82DF3" w:rsidRPr="00A503BC">
        <w:t xml:space="preserve"> viena no lielākajām augstākās izglītības iestādēm Latvijā, arī zinātniskais institūts. RTU kā zinātniskā institūcija ir iesaistīta vairākos valsts nozīmes pētniecības projektos, tai skaitā kompetences centros un VNPC projektos, nodrošina tehnoloģiju pārneses kontaktpunkta funkcijas. </w:t>
      </w:r>
      <w:r w:rsidR="00F82DF3">
        <w:t>V</w:t>
      </w:r>
      <w:r w:rsidR="00F82DF3" w:rsidRPr="00A503BC">
        <w:t>eiksmīg</w:t>
      </w:r>
      <w:r w:rsidR="00F82DF3">
        <w:t>ais</w:t>
      </w:r>
      <w:r w:rsidR="00F82DF3" w:rsidRPr="00A503BC">
        <w:t xml:space="preserve"> sadarbības piemēr</w:t>
      </w:r>
      <w:r w:rsidR="00F82DF3">
        <w:t>s</w:t>
      </w:r>
      <w:r w:rsidR="00F82DF3" w:rsidRPr="00A503BC">
        <w:t xml:space="preserve"> ar industriju – </w:t>
      </w:r>
      <w:r w:rsidR="00F82DF3">
        <w:t xml:space="preserve">Biomedicīnas inženierzinātņu un nanotehnoloģijas institūta un AS “Sidrabe” </w:t>
      </w:r>
      <w:r w:rsidR="00F82DF3" w:rsidRPr="0009188D">
        <w:t>substrātu virsmas funkcionalizācijas iespēju izpēte.</w:t>
      </w:r>
    </w:p>
    <w:p w14:paraId="2BAB3A85" w14:textId="52B928DC" w:rsidR="00C40C44" w:rsidRPr="002319D2" w:rsidRDefault="007005E8" w:rsidP="002319D2">
      <w:pPr>
        <w:pStyle w:val="Uzmumanosaukums"/>
      </w:pPr>
      <w:r w:rsidRPr="002319D2">
        <w:t>Latvijas Organiskās sintēzes institūts</w:t>
      </w:r>
      <w:r w:rsidR="00C40C44" w:rsidRPr="002319D2">
        <w:t xml:space="preserve"> (OSI)</w:t>
      </w:r>
    </w:p>
    <w:p w14:paraId="3DC00052" w14:textId="09D14C59" w:rsidR="007005E8" w:rsidRPr="001D3C4B" w:rsidRDefault="00C40C44" w:rsidP="007005E8">
      <w:r>
        <w:t>N</w:t>
      </w:r>
      <w:r w:rsidR="007005E8" w:rsidRPr="001D3C4B">
        <w:t xml:space="preserve">eatkarīga valsts pētnieciskā organizācija, kas veic pētījumus organiskajā ķīmijā, fizikāli organiskajā ķīmijā, analītiskajā ķīmijā un farmakoloģijā. </w:t>
      </w:r>
    </w:p>
    <w:p w14:paraId="09D924C1" w14:textId="2ADF3476" w:rsidR="007005E8" w:rsidRDefault="007005E8" w:rsidP="007005E8">
      <w:pPr>
        <w:rPr>
          <w:rFonts w:eastAsia="Times New Roman"/>
          <w:lang w:eastAsia="en-GB"/>
        </w:rPr>
      </w:pPr>
      <w:r>
        <w:t xml:space="preserve">OSI ir vienīgais Latvijas institūts, kas ir atzīts par spēcīgu starptautisko spēlētāju ar ievērojamu starptautisku atzinību. </w:t>
      </w:r>
      <w:r w:rsidR="006104D6">
        <w:t>Institūta</w:t>
      </w:r>
      <w:r w:rsidR="00AC3A5E">
        <w:t xml:space="preserve"> spēcīgās puses</w:t>
      </w:r>
      <w:r>
        <w:t xml:space="preserve"> ir augsta pētnieku kompetence, augsta līmeņa analītiskās ķīmijas metožu pieejamība un </w:t>
      </w:r>
      <w:r w:rsidRPr="001D3C4B">
        <w:rPr>
          <w:rFonts w:eastAsia="Times New Roman"/>
          <w:lang w:eastAsia="en-GB"/>
        </w:rPr>
        <w:t>efektīva starpdisciplināra ķīmiķu, farmakologu, modelētāju un citu jomu profesionāļu sadarbība, nodrošinot lielāku veiksmīgo risinājumu īpatsvaru.</w:t>
      </w:r>
    </w:p>
    <w:p w14:paraId="6A63C738" w14:textId="77777777" w:rsidR="007005E8" w:rsidRDefault="007005E8" w:rsidP="007005E8">
      <w:r>
        <w:rPr>
          <w:rFonts w:eastAsia="Times New Roman"/>
          <w:lang w:eastAsia="en-GB"/>
        </w:rPr>
        <w:t xml:space="preserve">Institūtā strādā vairāk par 300 darbiniekiem. </w:t>
      </w:r>
      <w:r>
        <w:t>OSI ir vairāk nekā 55 gadus ilga zāļu konstruēšanas pieredze, un sadarbībā ar partneriem tas ir radījis 18 oriģinālus ārstniecības līdzekļus un ieviesis vairāk nekā 70 oriģinālu tehnoloģiju zināmu zāļu vielu iegūšanai.</w:t>
      </w:r>
    </w:p>
    <w:p w14:paraId="173C3D97" w14:textId="2489791F" w:rsidR="00E41ACD" w:rsidRPr="002319D2" w:rsidRDefault="00E41ACD" w:rsidP="00F82DF3">
      <w:pPr>
        <w:rPr>
          <w:b/>
          <w:color w:val="4472C4" w:themeColor="accent5"/>
        </w:rPr>
      </w:pPr>
      <w:r w:rsidRPr="002319D2">
        <w:rPr>
          <w:b/>
          <w:color w:val="4472C4" w:themeColor="accent5"/>
        </w:rPr>
        <w:t>Latvijas Valsts Koksnes Ķīmijas institūts</w:t>
      </w:r>
    </w:p>
    <w:p w14:paraId="10DE97A6" w14:textId="278793C2" w:rsidR="00F82DF3" w:rsidRPr="00646FE4" w:rsidRDefault="00F82DF3" w:rsidP="00F82DF3">
      <w:pPr>
        <w:rPr>
          <w:rFonts w:cs="Times New Roman"/>
          <w:szCs w:val="24"/>
        </w:rPr>
      </w:pPr>
      <w:r w:rsidRPr="002319D2">
        <w:rPr>
          <w:rFonts w:cs="Times New Roman"/>
          <w:bCs/>
          <w:szCs w:val="24"/>
        </w:rPr>
        <w:t xml:space="preserve">Latvijas Valsts Koksnes Ķīmijas institūts </w:t>
      </w:r>
      <w:r w:rsidRPr="003136B0">
        <w:rPr>
          <w:rFonts w:cs="Times New Roman"/>
          <w:bCs/>
          <w:szCs w:val="24"/>
        </w:rPr>
        <w:t>ir valsts</w:t>
      </w:r>
      <w:r w:rsidRPr="00646FE4">
        <w:rPr>
          <w:rFonts w:cs="Times New Roman"/>
          <w:szCs w:val="24"/>
        </w:rPr>
        <w:t xml:space="preserve"> dibināts, un tā galvenās kompetences ir koksnes un koksnes materiālu ieguve ar uzlabotām īpašībām; biorafinēšana (biomasas kompleksa pārstrāde), kas dot iespēju no biomasas un dažādiem tehnoloģiskiem blakusproduktiem iegūt ķīmiskas izejvielas, materiālus, biodegvielu utt.; zaļās ķīmijas materiālu un polimēru ražošanas tehnoloģijas, jaunu tehnoloģiju izstrāde</w:t>
      </w:r>
      <w:r>
        <w:rPr>
          <w:rFonts w:cs="Times New Roman"/>
          <w:szCs w:val="24"/>
        </w:rPr>
        <w:t>, bioinženierija</w:t>
      </w:r>
      <w:r w:rsidRPr="00646FE4">
        <w:rPr>
          <w:rFonts w:cs="Times New Roman"/>
          <w:szCs w:val="24"/>
        </w:rPr>
        <w:t>. Darbs institūtā tiek organizēts deviņās laboratorijās.</w:t>
      </w:r>
    </w:p>
    <w:p w14:paraId="466C68C9" w14:textId="77777777" w:rsidR="00F82DF3" w:rsidRPr="00646FE4" w:rsidRDefault="00F82DF3" w:rsidP="00F82DF3">
      <w:pPr>
        <w:rPr>
          <w:rFonts w:cs="Times New Roman"/>
          <w:szCs w:val="24"/>
        </w:rPr>
      </w:pPr>
      <w:r w:rsidRPr="00646FE4">
        <w:rPr>
          <w:rFonts w:cs="Times New Roman"/>
          <w:szCs w:val="24"/>
        </w:rPr>
        <w:t xml:space="preserve">Izglītības Ministrijas starptautiskajā novērtējumā institūts ir atzīts kā spēcīgs starptautiskais spēlētājs ar ļoti labu potenciālu turpmākai attīstībai. Pētniecības kvalitāte ir viena no labākajām Latvijā, un institūts ir viens no vērtības ķēdes dalībniekiem lauksaimniecības un tehnoloģijas produktu ražošanā gan Latvijā, gan </w:t>
      </w:r>
      <w:r>
        <w:rPr>
          <w:rFonts w:cs="Times New Roman"/>
          <w:szCs w:val="24"/>
        </w:rPr>
        <w:t>Eiro</w:t>
      </w:r>
      <w:r w:rsidRPr="00646FE4">
        <w:rPr>
          <w:rFonts w:cs="Times New Roman"/>
          <w:szCs w:val="24"/>
        </w:rPr>
        <w:t>pā.</w:t>
      </w:r>
    </w:p>
    <w:p w14:paraId="40E887E7" w14:textId="77777777" w:rsidR="00E41ACD" w:rsidRDefault="00F82DF3" w:rsidP="002319D2">
      <w:pPr>
        <w:keepNext/>
      </w:pPr>
      <w:r w:rsidRPr="002319D2">
        <w:rPr>
          <w:color w:val="4472C4" w:themeColor="accent5"/>
        </w:rPr>
        <w:lastRenderedPageBreak/>
        <w:t>Latvijas Biomedicīnas pētījumu un studiju centrs (BMC)</w:t>
      </w:r>
      <w:r w:rsidRPr="00EF6252">
        <w:t xml:space="preserve"> </w:t>
      </w:r>
    </w:p>
    <w:p w14:paraId="47F818A7" w14:textId="4B9B2320" w:rsidR="00F82DF3" w:rsidRDefault="00E41ACD" w:rsidP="002319D2">
      <w:pPr>
        <w:keepNext/>
      </w:pPr>
      <w:r>
        <w:t xml:space="preserve">BMC </w:t>
      </w:r>
      <w:r w:rsidR="00F82DF3" w:rsidRPr="00EF6252">
        <w:t>ir vadošā pētniecības iestāde molekulārajā bioloģijā, biomedicīnā un biotehnoloģijā</w:t>
      </w:r>
      <w:r w:rsidR="00F82DF3">
        <w:t>, kas</w:t>
      </w:r>
      <w:r w:rsidR="00F82DF3" w:rsidRPr="00EF6252">
        <w:t xml:space="preserve">. </w:t>
      </w:r>
      <w:r w:rsidR="00F82DF3">
        <w:t>veic</w:t>
      </w:r>
      <w:r w:rsidR="00F82DF3" w:rsidRPr="00EF6252">
        <w:t xml:space="preserve"> gan fundamentāl</w:t>
      </w:r>
      <w:r w:rsidR="00F82DF3">
        <w:t>os</w:t>
      </w:r>
      <w:r w:rsidR="00F82DF3" w:rsidRPr="00EF6252">
        <w:t>, gan lietišķ</w:t>
      </w:r>
      <w:r w:rsidR="00F82DF3">
        <w:t>os</w:t>
      </w:r>
      <w:r w:rsidR="00F82DF3" w:rsidRPr="00EF6252">
        <w:t xml:space="preserve"> </w:t>
      </w:r>
      <w:r w:rsidR="00F82DF3" w:rsidRPr="00EF6252">
        <w:rPr>
          <w:color w:val="000000" w:themeColor="text1"/>
        </w:rPr>
        <w:t xml:space="preserve">pētījumus </w:t>
      </w:r>
      <w:r w:rsidR="00F82DF3" w:rsidRPr="00C948F2">
        <w:t>molekulārajā mikrobioloģijā, vakcīnu izstrādē, šūnu bioloģijā, genomikā un proteomikā, vēža bioloģijā, imunoloģijā, struktūrbioloģijā</w:t>
      </w:r>
      <w:r w:rsidR="00F82DF3" w:rsidRPr="00EF6252">
        <w:rPr>
          <w:color w:val="000000" w:themeColor="text1"/>
        </w:rPr>
        <w:t xml:space="preserve"> un citos </w:t>
      </w:r>
      <w:r w:rsidR="00F82DF3" w:rsidRPr="00EF6252">
        <w:t>virzienos.</w:t>
      </w:r>
    </w:p>
    <w:p w14:paraId="2A29EA76" w14:textId="5158B3CF" w:rsidR="007005E8" w:rsidRPr="00F91137" w:rsidRDefault="00F82DF3" w:rsidP="00D83414">
      <w:r>
        <w:t>2015. gadā tajā strādāja 143 darbinieki, 123 no kuriem bija zinātnē nodarbinātais personāls. No tiem 29 vadošie pētnieki, 26 pētnieki un 66 zinātniskie asistenti. 2014. gadā tika reģistrēti un uzturēti 9 patenti un pieteikti 3 Latvijas patenti.</w:t>
      </w:r>
    </w:p>
    <w:p w14:paraId="614D72DE" w14:textId="77777777" w:rsidR="00D83414" w:rsidRDefault="00D83414" w:rsidP="00D83414">
      <w:r>
        <w:t>Zinātnes un pētniecības organizāciju materiāli tehniskais aprīkojums pēdējos desmit gados ir ievērojami uzlabojies, jo gan par valsts, gan dažādu fondu projektu līdzekļiem ir iegādātas dažādas iekārtas. Neskatoties uz to, patlaban nav sistēmas, kā uzņēmēji var uzzināt par zinātnisko un pētniecības organizāciju piedāvātajiem pakalpojumiem.</w:t>
      </w:r>
    </w:p>
    <w:p w14:paraId="64382243" w14:textId="33502476" w:rsidR="00A34972" w:rsidRPr="00AA7AA5" w:rsidRDefault="00AA7AA5" w:rsidP="00AA7AA5">
      <w:pPr>
        <w:pStyle w:val="Heading2"/>
        <w:shd w:val="clear" w:color="auto" w:fill="auto"/>
      </w:pPr>
      <w:bookmarkStart w:id="14" w:name="_Toc119072218"/>
      <w:r>
        <w:t>Mehānisms jomas z</w:t>
      </w:r>
      <w:r w:rsidR="00A34972" w:rsidRPr="00AA7AA5">
        <w:t>inātnisko institūciju un augstākās izglītības institūciju iesaistīšanai kompetences centra pētniecības projektu atlases padomē</w:t>
      </w:r>
      <w:bookmarkEnd w:id="14"/>
    </w:p>
    <w:p w14:paraId="0460DBFF" w14:textId="77777777" w:rsidR="00DC04FB" w:rsidRDefault="00DC04FB" w:rsidP="00DC04FB">
      <w:pPr>
        <w:rPr>
          <w:rFonts w:ascii="Segoe UI" w:hAnsi="Segoe UI" w:cs="Times New Roman"/>
        </w:rPr>
      </w:pPr>
      <w:r w:rsidRPr="00382059">
        <w:rPr>
          <w:rFonts w:ascii="Segoe UI" w:hAnsi="Segoe UI" w:cs="Times New Roman"/>
        </w:rPr>
        <w:t xml:space="preserve">Saskaņā ar MK 05.07.2022. noteikumiem Nr.418 “Latvijas Atveseļošanas un noturības mehānisma plāna 5.1.r. reformu un investīciju virziena "Produktivitātes paaugstināšana caur investīciju apjoma palielināšanu P&amp;A" 5.1.1.r. reformas "Inovāciju pārvaldība un privāto P&amp;A investīciju motivācija" 5.1.1.2.i. investīcijas "Atbalsta instruments inovāciju klasteru attīstībai" īstenošanas noteikumi kompetences centru ietvaros”, </w:t>
      </w:r>
      <w:r>
        <w:rPr>
          <w:rFonts w:ascii="Segoe UI" w:hAnsi="Segoe UI" w:cs="Times New Roman"/>
        </w:rPr>
        <w:t>21</w:t>
      </w:r>
      <w:r w:rsidRPr="00382059">
        <w:rPr>
          <w:rFonts w:ascii="Segoe UI" w:hAnsi="Segoe UI" w:cs="Times New Roman"/>
        </w:rPr>
        <w:t xml:space="preserve">.08.2022. </w:t>
      </w:r>
      <w:r>
        <w:rPr>
          <w:rFonts w:ascii="Segoe UI" w:hAnsi="Segoe UI" w:cs="Times New Roman"/>
        </w:rPr>
        <w:t>FBMTKC</w:t>
      </w:r>
      <w:r w:rsidRPr="00382059">
        <w:rPr>
          <w:rFonts w:ascii="Segoe UI" w:hAnsi="Segoe UI" w:cs="Times New Roman"/>
        </w:rPr>
        <w:t xml:space="preserve"> mājaslapā tika publicēts sludinājums par konkursu uz Pētniecības projektu atlases padomes locekļa amatu.</w:t>
      </w:r>
      <w:r>
        <w:rPr>
          <w:rFonts w:ascii="Segoe UI" w:hAnsi="Segoe UI" w:cs="Times New Roman"/>
        </w:rPr>
        <w:t xml:space="preserve"> Projektu atlases padomes locekļu kandidātus izvērtēšanai tika izveidota vērtēšanas komisija ar trīs cilvēku sastāvu, ko veido:</w:t>
      </w:r>
    </w:p>
    <w:p w14:paraId="12E48A46" w14:textId="5E6E318B" w:rsidR="00DC04FB" w:rsidRPr="00382059" w:rsidRDefault="00DC04FB" w:rsidP="00DC04FB">
      <w:pPr>
        <w:numPr>
          <w:ilvl w:val="0"/>
          <w:numId w:val="8"/>
        </w:numPr>
        <w:shd w:val="clear" w:color="FFFFFF" w:fill="auto"/>
        <w:spacing w:after="0"/>
        <w:contextualSpacing/>
        <w:rPr>
          <w:rFonts w:ascii="Segoe UI" w:hAnsi="Segoe UI" w:cs="Times New Roman"/>
        </w:rPr>
      </w:pPr>
      <w:r>
        <w:rPr>
          <w:rFonts w:ascii="Segoe UI" w:eastAsia="Times New Roman" w:hAnsi="Segoe UI" w:cs="Times New Roman"/>
        </w:rPr>
        <w:t>Komisi</w:t>
      </w:r>
      <w:r w:rsidR="0051413D">
        <w:rPr>
          <w:rFonts w:ascii="Segoe UI" w:eastAsia="Times New Roman" w:hAnsi="Segoe UI" w:cs="Times New Roman"/>
        </w:rPr>
        <w:t>j</w:t>
      </w:r>
      <w:r>
        <w:rPr>
          <w:rFonts w:ascii="Segoe UI" w:eastAsia="Times New Roman" w:hAnsi="Segoe UI" w:cs="Times New Roman"/>
        </w:rPr>
        <w:t>as priekšsēdētājs Ivars Kalviņš</w:t>
      </w:r>
      <w:r w:rsidRPr="00382059">
        <w:rPr>
          <w:rFonts w:ascii="Segoe UI" w:eastAsia="Times New Roman" w:hAnsi="Segoe UI" w:cs="Times New Roman"/>
        </w:rPr>
        <w:t xml:space="preserve"> </w:t>
      </w:r>
      <w:r>
        <w:rPr>
          <w:rFonts w:ascii="Segoe UI" w:eastAsia="Times New Roman" w:hAnsi="Segoe UI" w:cs="Times New Roman"/>
        </w:rPr>
        <w:t>–</w:t>
      </w:r>
      <w:r w:rsidRPr="00382059">
        <w:rPr>
          <w:rFonts w:ascii="Segoe UI" w:eastAsia="Times New Roman" w:hAnsi="Segoe UI" w:cs="Times New Roman"/>
        </w:rPr>
        <w:t xml:space="preserve"> </w:t>
      </w:r>
      <w:r>
        <w:rPr>
          <w:rFonts w:ascii="Segoe UI" w:eastAsia="Times New Roman" w:hAnsi="Segoe UI" w:cs="Times New Roman"/>
        </w:rPr>
        <w:t>Latvijas Zinātņu akadēmijas prezidents</w:t>
      </w:r>
      <w:r w:rsidRPr="00382059">
        <w:rPr>
          <w:rFonts w:ascii="Segoe UI" w:eastAsia="Times New Roman" w:hAnsi="Segoe UI" w:cs="Times New Roman"/>
        </w:rPr>
        <w:t>;</w:t>
      </w:r>
    </w:p>
    <w:p w14:paraId="64996197" w14:textId="320F1756" w:rsidR="00DC04FB" w:rsidRPr="00D81F7F" w:rsidRDefault="00DC04FB" w:rsidP="00DC04FB">
      <w:pPr>
        <w:numPr>
          <w:ilvl w:val="0"/>
          <w:numId w:val="8"/>
        </w:numPr>
        <w:shd w:val="clear" w:color="FFFFFF" w:fill="auto"/>
        <w:spacing w:after="0"/>
        <w:contextualSpacing/>
        <w:rPr>
          <w:rFonts w:ascii="Segoe UI" w:hAnsi="Segoe UI" w:cs="Times New Roman"/>
        </w:rPr>
      </w:pPr>
      <w:r>
        <w:rPr>
          <w:rFonts w:ascii="Segoe UI" w:eastAsia="Times New Roman" w:hAnsi="Segoe UI" w:cs="Times New Roman"/>
        </w:rPr>
        <w:t>Komisijas locekle Anita Indena – SIA “Meža nozares kompetences centr</w:t>
      </w:r>
      <w:r w:rsidR="0051413D">
        <w:rPr>
          <w:rFonts w:ascii="Segoe UI" w:eastAsia="Times New Roman" w:hAnsi="Segoe UI" w:cs="Times New Roman"/>
        </w:rPr>
        <w:t>s</w:t>
      </w:r>
      <w:r>
        <w:rPr>
          <w:rFonts w:ascii="Segoe UI" w:eastAsia="Times New Roman" w:hAnsi="Segoe UI" w:cs="Times New Roman"/>
        </w:rPr>
        <w:t>”</w:t>
      </w:r>
      <w:r w:rsidR="0051413D">
        <w:rPr>
          <w:rFonts w:ascii="Segoe UI" w:eastAsia="Times New Roman" w:hAnsi="Segoe UI" w:cs="Times New Roman"/>
        </w:rPr>
        <w:t xml:space="preserve"> </w:t>
      </w:r>
      <w:r>
        <w:rPr>
          <w:rFonts w:ascii="Segoe UI" w:eastAsia="Times New Roman" w:hAnsi="Segoe UI" w:cs="Times New Roman"/>
        </w:rPr>
        <w:t>valdes priekšsēdētāja;</w:t>
      </w:r>
    </w:p>
    <w:p w14:paraId="6B41C69A" w14:textId="07FF019B" w:rsidR="00DC04FB" w:rsidRPr="00382059" w:rsidRDefault="00DC04FB" w:rsidP="00DC04FB">
      <w:pPr>
        <w:shd w:val="clear" w:color="FFFFFF" w:fill="auto"/>
        <w:ind w:left="720"/>
        <w:contextualSpacing/>
        <w:rPr>
          <w:rFonts w:ascii="Segoe UI" w:hAnsi="Segoe UI" w:cs="Times New Roman"/>
        </w:rPr>
      </w:pPr>
      <w:r>
        <w:rPr>
          <w:rFonts w:ascii="Segoe UI" w:eastAsia="Times New Roman" w:hAnsi="Segoe UI" w:cs="Times New Roman"/>
        </w:rPr>
        <w:t>Komisijas locekle Rasma Ludziņu – SIA “Farmācijas, biomedicīnas un medicīnas tehnoloģiju Kompetences centr</w:t>
      </w:r>
      <w:r w:rsidR="0051413D">
        <w:rPr>
          <w:rFonts w:ascii="Segoe UI" w:eastAsia="Times New Roman" w:hAnsi="Segoe UI" w:cs="Times New Roman"/>
        </w:rPr>
        <w:t>s</w:t>
      </w:r>
      <w:r>
        <w:rPr>
          <w:rFonts w:ascii="Segoe UI" w:eastAsia="Times New Roman" w:hAnsi="Segoe UI" w:cs="Times New Roman"/>
        </w:rPr>
        <w:t>”</w:t>
      </w:r>
      <w:r w:rsidR="006B3EAA">
        <w:rPr>
          <w:rFonts w:ascii="Segoe UI" w:eastAsia="Times New Roman" w:hAnsi="Segoe UI" w:cs="Times New Roman"/>
        </w:rPr>
        <w:t xml:space="preserve"> </w:t>
      </w:r>
      <w:r>
        <w:rPr>
          <w:rFonts w:ascii="Segoe UI" w:eastAsia="Times New Roman" w:hAnsi="Segoe UI" w:cs="Times New Roman"/>
        </w:rPr>
        <w:t>prokūriste.</w:t>
      </w:r>
    </w:p>
    <w:p w14:paraId="556CFF99" w14:textId="77777777" w:rsidR="00DC04FB" w:rsidRPr="00382059" w:rsidRDefault="00DC04FB" w:rsidP="00DC04FB">
      <w:pPr>
        <w:shd w:val="clear" w:color="FFFFFF" w:fill="auto"/>
        <w:contextualSpacing/>
        <w:rPr>
          <w:rFonts w:ascii="Segoe UI" w:hAnsi="Segoe UI" w:cs="Times New Roman"/>
        </w:rPr>
      </w:pPr>
    </w:p>
    <w:p w14:paraId="519681F3" w14:textId="77777777" w:rsidR="00DC04FB" w:rsidRPr="00F7180F" w:rsidRDefault="00DC04FB" w:rsidP="00DC04FB">
      <w:pPr>
        <w:shd w:val="clear" w:color="FFFFFF" w:fill="auto"/>
        <w:contextualSpacing/>
        <w:rPr>
          <w:rFonts w:ascii="Segoe UI" w:eastAsia="Times New Roman" w:hAnsi="Segoe UI" w:cs="Times New Roman"/>
        </w:rPr>
      </w:pPr>
      <w:r w:rsidRPr="00F7180F">
        <w:rPr>
          <w:rFonts w:ascii="Segoe UI" w:eastAsia="Times New Roman" w:hAnsi="Segoe UI" w:cs="Times New Roman"/>
        </w:rPr>
        <w:t>Atbilstoši kompetences centra zinātniskajiem pētniecības virzieniem, tika uzrunātas vadošās Latvijas zinātniskās institūcijas</w:t>
      </w:r>
      <w:r>
        <w:rPr>
          <w:rFonts w:ascii="Segoe UI" w:eastAsia="Times New Roman" w:hAnsi="Segoe UI" w:cs="Times New Roman"/>
        </w:rPr>
        <w:t>, lai</w:t>
      </w:r>
      <w:r w:rsidRPr="00F7180F">
        <w:rPr>
          <w:rFonts w:ascii="Segoe UI" w:eastAsia="Times New Roman" w:hAnsi="Segoe UI" w:cs="Times New Roman"/>
        </w:rPr>
        <w:t xml:space="preserve"> iesaistīt</w:t>
      </w:r>
      <w:r>
        <w:rPr>
          <w:rFonts w:ascii="Segoe UI" w:eastAsia="Times New Roman" w:hAnsi="Segoe UI" w:cs="Times New Roman"/>
        </w:rPr>
        <w:t>u</w:t>
      </w:r>
      <w:r w:rsidRPr="00F7180F">
        <w:rPr>
          <w:rFonts w:ascii="Segoe UI" w:eastAsia="Times New Roman" w:hAnsi="Segoe UI" w:cs="Times New Roman"/>
        </w:rPr>
        <w:t xml:space="preserve"> to pārstāvj</w:t>
      </w:r>
      <w:r>
        <w:rPr>
          <w:rFonts w:ascii="Segoe UI" w:eastAsia="Times New Roman" w:hAnsi="Segoe UI" w:cs="Times New Roman"/>
        </w:rPr>
        <w:t>us</w:t>
      </w:r>
      <w:r w:rsidRPr="00F7180F">
        <w:rPr>
          <w:rFonts w:ascii="Segoe UI" w:eastAsia="Times New Roman" w:hAnsi="Segoe UI" w:cs="Times New Roman"/>
        </w:rPr>
        <w:t xml:space="preserve"> pētniecības projektu atlases padomē. </w:t>
      </w:r>
    </w:p>
    <w:p w14:paraId="16041A4D" w14:textId="77777777" w:rsidR="00DC04FB" w:rsidRPr="00F7180F" w:rsidRDefault="00DC04FB" w:rsidP="00DC04FB">
      <w:pPr>
        <w:rPr>
          <w:rFonts w:ascii="Segoe UI" w:eastAsia="Times New Roman" w:hAnsi="Segoe UI" w:cs="Times New Roman"/>
        </w:rPr>
      </w:pPr>
      <w:r w:rsidRPr="00F7180F">
        <w:rPr>
          <w:rFonts w:ascii="Segoe UI" w:eastAsia="Times New Roman" w:hAnsi="Segoe UI" w:cs="Times New Roman"/>
        </w:rPr>
        <w:t>Kompetences centra pētniecības projektu atlases padomē tiek iekļauti:</w:t>
      </w:r>
    </w:p>
    <w:p w14:paraId="3671B957" w14:textId="77777777" w:rsidR="00DC04FB" w:rsidRDefault="00DC04FB" w:rsidP="00DC04FB">
      <w:pPr>
        <w:numPr>
          <w:ilvl w:val="0"/>
          <w:numId w:val="8"/>
        </w:numPr>
        <w:shd w:val="clear" w:color="FFFFFF" w:fill="auto"/>
        <w:spacing w:after="0"/>
        <w:contextualSpacing/>
        <w:rPr>
          <w:rFonts w:ascii="Segoe UI" w:eastAsia="Times New Roman" w:hAnsi="Segoe UI" w:cs="Times New Roman"/>
        </w:rPr>
      </w:pPr>
      <w:r w:rsidRPr="00F7180F">
        <w:rPr>
          <w:rFonts w:ascii="Segoe UI" w:eastAsia="Times New Roman" w:hAnsi="Segoe UI" w:cs="Times New Roman"/>
        </w:rPr>
        <w:t xml:space="preserve">nozares komersantu pārstāvji, kuri ieguvuši augstāko izglītību un vismaz </w:t>
      </w:r>
      <w:r>
        <w:rPr>
          <w:rFonts w:ascii="Segoe UI" w:eastAsia="Times New Roman" w:hAnsi="Segoe UI" w:cs="Times New Roman"/>
        </w:rPr>
        <w:t xml:space="preserve">piecu </w:t>
      </w:r>
      <w:r w:rsidRPr="00F7180F">
        <w:rPr>
          <w:rFonts w:ascii="Segoe UI" w:eastAsia="Times New Roman" w:hAnsi="Segoe UI" w:cs="Times New Roman"/>
        </w:rPr>
        <w:t xml:space="preserve"> gadu darba pieredzi attiecīgajā nozarē;</w:t>
      </w:r>
    </w:p>
    <w:p w14:paraId="0C0F2E77" w14:textId="54936F02" w:rsidR="00E31814" w:rsidRPr="00F7180F" w:rsidRDefault="00E31814" w:rsidP="00E31814">
      <w:pPr>
        <w:numPr>
          <w:ilvl w:val="0"/>
          <w:numId w:val="8"/>
        </w:numPr>
        <w:shd w:val="clear" w:color="FFFFFF" w:fill="auto"/>
        <w:spacing w:after="0"/>
        <w:contextualSpacing/>
        <w:rPr>
          <w:rFonts w:ascii="Segoe UI" w:eastAsia="Times New Roman" w:hAnsi="Segoe UI" w:cs="Times New Roman"/>
        </w:rPr>
      </w:pPr>
      <w:r w:rsidRPr="00F7180F">
        <w:rPr>
          <w:rFonts w:ascii="Segoe UI" w:eastAsia="Times New Roman" w:hAnsi="Segoe UI" w:cs="Times New Roman"/>
        </w:rPr>
        <w:t xml:space="preserve">pētniecības un zināšanu izplatīšanas organizāciju pārstāvji, </w:t>
      </w:r>
      <w:r w:rsidR="000C6F55" w:rsidRPr="00F7180F">
        <w:rPr>
          <w:rFonts w:ascii="Segoe UI" w:eastAsia="Times New Roman" w:hAnsi="Segoe UI" w:cs="Times New Roman"/>
        </w:rPr>
        <w:t>kuri ieguvuši maģistra vai zinātņu doktora grādu attiecīgajā nozarē</w:t>
      </w:r>
      <w:r w:rsidR="000C6F55">
        <w:rPr>
          <w:rFonts w:ascii="Segoe UI" w:eastAsia="Times New Roman" w:hAnsi="Segoe UI" w:cs="Times New Roman"/>
        </w:rPr>
        <w:t xml:space="preserve"> un vismaz piecu gadu pieredze akadēmiskajā darbā</w:t>
      </w:r>
      <w:r w:rsidR="000C6F55" w:rsidRPr="00F7180F">
        <w:rPr>
          <w:rFonts w:ascii="Segoe UI" w:eastAsia="Times New Roman" w:hAnsi="Segoe UI" w:cs="Times New Roman"/>
        </w:rPr>
        <w:t>;</w:t>
      </w:r>
    </w:p>
    <w:p w14:paraId="3D764513" w14:textId="0FE51962" w:rsidR="00E31814" w:rsidRPr="00F7180F" w:rsidRDefault="00E31814" w:rsidP="00E31814">
      <w:pPr>
        <w:numPr>
          <w:ilvl w:val="0"/>
          <w:numId w:val="8"/>
        </w:numPr>
        <w:shd w:val="clear" w:color="FFFFFF" w:fill="auto"/>
        <w:spacing w:after="0"/>
        <w:contextualSpacing/>
        <w:rPr>
          <w:rFonts w:ascii="Segoe UI" w:eastAsia="Times New Roman" w:hAnsi="Segoe UI" w:cs="Times New Roman"/>
        </w:rPr>
      </w:pPr>
      <w:r w:rsidRPr="00F7180F">
        <w:rPr>
          <w:rFonts w:ascii="Segoe UI" w:eastAsia="Times New Roman" w:hAnsi="Segoe UI" w:cs="Times New Roman"/>
        </w:rPr>
        <w:t>virzienu zinātniskie vadītāji</w:t>
      </w:r>
      <w:r>
        <w:rPr>
          <w:rFonts w:ascii="Segoe UI" w:eastAsia="Times New Roman" w:hAnsi="Segoe UI" w:cs="Times New Roman"/>
        </w:rPr>
        <w:t xml:space="preserve">, </w:t>
      </w:r>
      <w:r w:rsidR="00685825" w:rsidRPr="00F7180F">
        <w:rPr>
          <w:rFonts w:ascii="Segoe UI" w:eastAsia="Times New Roman" w:hAnsi="Segoe UI" w:cs="Times New Roman"/>
        </w:rPr>
        <w:t>kuri ieguvuši zinātņu doktora grādu attiecīgajā nozarē</w:t>
      </w:r>
      <w:r w:rsidR="00685825">
        <w:rPr>
          <w:rFonts w:ascii="Segoe UI" w:eastAsia="Times New Roman" w:hAnsi="Segoe UI" w:cs="Times New Roman"/>
        </w:rPr>
        <w:t xml:space="preserve"> un vismaz desmit gadu pieredze akadēmiskajā darbā</w:t>
      </w:r>
      <w:r w:rsidR="00685825" w:rsidRPr="00F7180F">
        <w:rPr>
          <w:rFonts w:ascii="Segoe UI" w:eastAsia="Times New Roman" w:hAnsi="Segoe UI" w:cs="Times New Roman"/>
        </w:rPr>
        <w:t>;</w:t>
      </w:r>
    </w:p>
    <w:p w14:paraId="7D44CC6E" w14:textId="77777777" w:rsidR="00E31814" w:rsidRPr="00F7180F" w:rsidRDefault="00E31814" w:rsidP="00E31814">
      <w:pPr>
        <w:numPr>
          <w:ilvl w:val="0"/>
          <w:numId w:val="8"/>
        </w:numPr>
        <w:shd w:val="clear" w:color="FFFFFF" w:fill="auto"/>
        <w:spacing w:after="0"/>
        <w:contextualSpacing/>
        <w:rPr>
          <w:rFonts w:ascii="Segoe UI" w:eastAsia="Times New Roman" w:hAnsi="Segoe UI" w:cs="Times New Roman"/>
        </w:rPr>
      </w:pPr>
      <w:r w:rsidRPr="00F7180F">
        <w:rPr>
          <w:rFonts w:ascii="Segoe UI" w:eastAsia="Times New Roman" w:hAnsi="Segoe UI" w:cs="Times New Roman"/>
        </w:rPr>
        <w:t>Ekonomikas ministrijas pārstāvis;</w:t>
      </w:r>
    </w:p>
    <w:p w14:paraId="141677AC" w14:textId="3EE526C9" w:rsidR="00E31814" w:rsidRPr="00E31814" w:rsidRDefault="00FF64B6" w:rsidP="00E31814">
      <w:pPr>
        <w:numPr>
          <w:ilvl w:val="0"/>
          <w:numId w:val="8"/>
        </w:numPr>
        <w:shd w:val="clear" w:color="FFFFFF" w:fill="auto"/>
        <w:spacing w:after="0"/>
        <w:contextualSpacing/>
        <w:rPr>
          <w:rFonts w:ascii="Segoe UI" w:eastAsia="Times New Roman" w:hAnsi="Segoe UI" w:cs="Times New Roman"/>
        </w:rPr>
      </w:pPr>
      <w:r>
        <w:rPr>
          <w:rFonts w:ascii="Segoe UI" w:eastAsia="Times New Roman" w:hAnsi="Segoe UI" w:cs="Times New Roman"/>
        </w:rPr>
        <w:t>Starpnozaru ekspertus ar pieredzi citu</w:t>
      </w:r>
      <w:r w:rsidR="00E31814" w:rsidRPr="00F7180F">
        <w:rPr>
          <w:rFonts w:ascii="Segoe UI" w:eastAsia="Times New Roman" w:hAnsi="Segoe UI" w:cs="Times New Roman"/>
        </w:rPr>
        <w:t xml:space="preserve"> kompetences centru, klasteru, asociāciju un, ja nepieciešams, arī citu organizāciju </w:t>
      </w:r>
      <w:r w:rsidR="00945221">
        <w:rPr>
          <w:rFonts w:ascii="Segoe UI" w:eastAsia="Times New Roman" w:hAnsi="Segoe UI" w:cs="Times New Roman"/>
        </w:rPr>
        <w:t>vadībā (gadījumā</w:t>
      </w:r>
      <w:r w:rsidR="00E31814" w:rsidRPr="00F7180F">
        <w:rPr>
          <w:rFonts w:ascii="Segoe UI" w:eastAsia="Times New Roman" w:hAnsi="Segoe UI" w:cs="Times New Roman"/>
        </w:rPr>
        <w:t>, ja tiek izvērtēti starpnozaru projekti un tiek konstatēts, ka esošajai atlases padomei nav pietiekama kompetence to izvērtēšanai).</w:t>
      </w:r>
    </w:p>
    <w:p w14:paraId="32992A73" w14:textId="02B52284" w:rsidR="00E70398" w:rsidRPr="00E70398" w:rsidRDefault="00E70398" w:rsidP="002319D2">
      <w:pPr>
        <w:rPr>
          <w:rFonts w:ascii="Segoe UI" w:eastAsia="Times New Roman" w:hAnsi="Segoe UI" w:cs="Times New Roman"/>
        </w:rPr>
      </w:pPr>
      <w:r w:rsidRPr="00E70398">
        <w:rPr>
          <w:rFonts w:ascii="Segoe UI" w:eastAsia="Times New Roman" w:hAnsi="Segoe UI" w:cs="Times New Roman"/>
        </w:rPr>
        <w:lastRenderedPageBreak/>
        <w:t xml:space="preserve">Šobrīd vērtēšanas komisija kompetences centrā </w:t>
      </w:r>
      <w:r w:rsidR="007951E7">
        <w:rPr>
          <w:rFonts w:ascii="Segoe UI" w:eastAsia="Times New Roman" w:hAnsi="Segoe UI" w:cs="Times New Roman"/>
        </w:rPr>
        <w:t>apstiprināja</w:t>
      </w:r>
      <w:r w:rsidRPr="00E70398">
        <w:rPr>
          <w:rFonts w:ascii="Segoe UI" w:eastAsia="Times New Roman" w:hAnsi="Segoe UI" w:cs="Times New Roman"/>
        </w:rPr>
        <w:t xml:space="preserve"> zinātniskā pētniecības projektu atlases padom</w:t>
      </w:r>
      <w:r w:rsidR="00CE429C">
        <w:rPr>
          <w:rFonts w:ascii="Segoe UI" w:eastAsia="Times New Roman" w:hAnsi="Segoe UI" w:cs="Times New Roman"/>
        </w:rPr>
        <w:t>i, ko pārstā</w:t>
      </w:r>
      <w:r w:rsidRPr="00E70398">
        <w:rPr>
          <w:rFonts w:ascii="Segoe UI" w:eastAsia="Times New Roman" w:hAnsi="Segoe UI" w:cs="Times New Roman"/>
        </w:rPr>
        <w:t>v:</w:t>
      </w:r>
    </w:p>
    <w:p w14:paraId="6BF8F68B" w14:textId="466F9A58" w:rsidR="003169EC" w:rsidRDefault="003169EC" w:rsidP="006F31C1">
      <w:pPr>
        <w:pStyle w:val="ListParagraph"/>
        <w:numPr>
          <w:ilvl w:val="0"/>
          <w:numId w:val="33"/>
        </w:numPr>
      </w:pPr>
      <w:r>
        <w:t>Edgars Liepiņš</w:t>
      </w:r>
      <w:r w:rsidR="00A47F32">
        <w:t xml:space="preserve"> </w:t>
      </w:r>
      <w:r>
        <w:t>- zinātniskā virziena “Farmācija, dabas vielu zāles, organiskā ķīmija, kosmētika“ vadītājs;</w:t>
      </w:r>
    </w:p>
    <w:p w14:paraId="49172FED" w14:textId="428102ED" w:rsidR="003169EC" w:rsidRDefault="003169EC" w:rsidP="006F31C1">
      <w:pPr>
        <w:pStyle w:val="ListParagraph"/>
        <w:numPr>
          <w:ilvl w:val="0"/>
          <w:numId w:val="33"/>
        </w:numPr>
      </w:pPr>
      <w:r>
        <w:t>Māris Turks</w:t>
      </w:r>
      <w:r w:rsidR="00A47F32">
        <w:t xml:space="preserve"> </w:t>
      </w:r>
      <w:r>
        <w:t>- zinātniskā virziena “Farmācija, dabas vielu zāles, organiskā ķīmija, kosmētika“ vadītājs;</w:t>
      </w:r>
    </w:p>
    <w:p w14:paraId="199673A3" w14:textId="605AA1E7" w:rsidR="003169EC" w:rsidRDefault="003169EC" w:rsidP="006F31C1">
      <w:pPr>
        <w:pStyle w:val="ListParagraph"/>
        <w:numPr>
          <w:ilvl w:val="0"/>
          <w:numId w:val="33"/>
        </w:numPr>
      </w:pPr>
      <w:r>
        <w:t>Andris Zeltiņš</w:t>
      </w:r>
      <w:r w:rsidR="00A47F32">
        <w:t xml:space="preserve"> </w:t>
      </w:r>
      <w:r>
        <w:t>- zinātniskā virziena “Biofarmācija, biomedicīna, medicīnas tehnoloģijas, biotehnoloģija“ vadītājs;</w:t>
      </w:r>
    </w:p>
    <w:p w14:paraId="3BDEF434" w14:textId="3B55EBC1" w:rsidR="003169EC" w:rsidRDefault="003169EC" w:rsidP="006F31C1">
      <w:pPr>
        <w:pStyle w:val="ListParagraph"/>
        <w:numPr>
          <w:ilvl w:val="0"/>
          <w:numId w:val="33"/>
        </w:numPr>
      </w:pPr>
      <w:r>
        <w:t>Ilmārs Stonāns</w:t>
      </w:r>
      <w:r w:rsidR="00497883">
        <w:t xml:space="preserve"> </w:t>
      </w:r>
      <w:r>
        <w:t>- zinātniskā virziena “Biofarmācija, biomedicīna, medicīnas tehnoloģijas, biotehnoloģija“ vadītājs</w:t>
      </w:r>
      <w:r w:rsidR="00EB57E4">
        <w:t>;</w:t>
      </w:r>
    </w:p>
    <w:p w14:paraId="0EBA4DE9" w14:textId="19FC717A" w:rsidR="00EB57E4" w:rsidRDefault="00EB57E4" w:rsidP="006F31C1">
      <w:pPr>
        <w:pStyle w:val="ListParagraph"/>
        <w:numPr>
          <w:ilvl w:val="0"/>
          <w:numId w:val="33"/>
        </w:numPr>
      </w:pPr>
      <w:r>
        <w:t>Juris Gulbis</w:t>
      </w:r>
      <w:r w:rsidR="00AE7547">
        <w:t xml:space="preserve"> </w:t>
      </w:r>
      <w:r w:rsidR="00EE67C7">
        <w:t>–</w:t>
      </w:r>
      <w:r w:rsidR="00AE7547">
        <w:t xml:space="preserve"> </w:t>
      </w:r>
      <w:r w:rsidR="00EE67C7">
        <w:t xml:space="preserve">AS </w:t>
      </w:r>
      <w:r w:rsidR="00497883">
        <w:t>“</w:t>
      </w:r>
      <w:r w:rsidR="00EE67C7">
        <w:t>Grindeks</w:t>
      </w:r>
      <w:r w:rsidR="00497883">
        <w:t>”</w:t>
      </w:r>
      <w:r w:rsidR="00EE67C7">
        <w:t xml:space="preserve"> </w:t>
      </w:r>
      <w:r w:rsidR="00C63059">
        <w:t>AFV izstrādes nodaļas vadītāju ar doktora grādu organiskajā ķīmijā</w:t>
      </w:r>
      <w:r>
        <w:t>;</w:t>
      </w:r>
    </w:p>
    <w:p w14:paraId="1C4BAF06" w14:textId="5D6C225C" w:rsidR="00EB57E4" w:rsidRDefault="00EB57E4" w:rsidP="006F31C1">
      <w:pPr>
        <w:pStyle w:val="ListParagraph"/>
        <w:numPr>
          <w:ilvl w:val="0"/>
          <w:numId w:val="33"/>
        </w:numPr>
      </w:pPr>
      <w:r>
        <w:t>Andris Šlaitas</w:t>
      </w:r>
      <w:r w:rsidR="00497883">
        <w:t xml:space="preserve"> </w:t>
      </w:r>
      <w:r>
        <w:t xml:space="preserve">- </w:t>
      </w:r>
      <w:r w:rsidR="0099589C">
        <w:t>Latvia MGI Tech izpildviceprezidents ar doktora grādu biomedicīnas zinātnē;</w:t>
      </w:r>
    </w:p>
    <w:p w14:paraId="1E8648AE" w14:textId="058AE216" w:rsidR="00EB57E4" w:rsidRDefault="00EB57E4" w:rsidP="006F31C1">
      <w:pPr>
        <w:pStyle w:val="ListParagraph"/>
        <w:numPr>
          <w:ilvl w:val="0"/>
          <w:numId w:val="33"/>
        </w:numPr>
      </w:pPr>
      <w:r>
        <w:t>Juris Vanags</w:t>
      </w:r>
      <w:r w:rsidR="00497883">
        <w:t xml:space="preserve"> </w:t>
      </w:r>
      <w:r>
        <w:t xml:space="preserve">- </w:t>
      </w:r>
      <w:r w:rsidR="0099589C">
        <w:t xml:space="preserve">AS </w:t>
      </w:r>
      <w:r w:rsidR="00497883">
        <w:t>“</w:t>
      </w:r>
      <w:r w:rsidR="0099589C">
        <w:t>Biotehnisk</w:t>
      </w:r>
      <w:r w:rsidR="00497883">
        <w:t>ais</w:t>
      </w:r>
      <w:r w:rsidR="0099589C">
        <w:t xml:space="preserve"> centr</w:t>
      </w:r>
      <w:r w:rsidR="00497883">
        <w:t>s”</w:t>
      </w:r>
      <w:r w:rsidR="0099589C">
        <w:t xml:space="preserve"> valdes priekšsēdētājs</w:t>
      </w:r>
      <w:r w:rsidR="00F0799A">
        <w:t xml:space="preserve"> ar doktora grādu inž</w:t>
      </w:r>
      <w:r w:rsidR="00497883">
        <w:t>e</w:t>
      </w:r>
      <w:r w:rsidR="00F0799A">
        <w:t>nierzinātnē</w:t>
      </w:r>
      <w:r>
        <w:t>;</w:t>
      </w:r>
    </w:p>
    <w:p w14:paraId="209F0A56" w14:textId="6DC36AF3" w:rsidR="00EB57E4" w:rsidRDefault="00EB57E4" w:rsidP="006F31C1">
      <w:pPr>
        <w:pStyle w:val="ListParagraph"/>
        <w:numPr>
          <w:ilvl w:val="0"/>
          <w:numId w:val="33"/>
        </w:numPr>
      </w:pPr>
      <w:r>
        <w:t>Raimonds Terentjevs</w:t>
      </w:r>
      <w:r w:rsidR="00497883">
        <w:t xml:space="preserve"> </w:t>
      </w:r>
      <w:r>
        <w:t xml:space="preserve">- </w:t>
      </w:r>
      <w:r w:rsidR="00FF20E3">
        <w:t xml:space="preserve">AS </w:t>
      </w:r>
      <w:r w:rsidR="00497883">
        <w:t>“</w:t>
      </w:r>
      <w:r w:rsidR="00FF20E3">
        <w:t>Olainfarm</w:t>
      </w:r>
      <w:r w:rsidR="00497883">
        <w:t>”</w:t>
      </w:r>
      <w:r w:rsidR="00FF20E3">
        <w:t xml:space="preserve"> </w:t>
      </w:r>
      <w:r w:rsidR="00B855C0">
        <w:t>kvalitātes vadības departamenta direktors</w:t>
      </w:r>
      <w:r w:rsidR="00BB0295">
        <w:t xml:space="preserve">, projektu </w:t>
      </w:r>
      <w:r w:rsidR="0064100C">
        <w:t>uzraudzības padomes loceklis</w:t>
      </w:r>
      <w:r w:rsidR="00DB170A">
        <w:t xml:space="preserve"> un</w:t>
      </w:r>
      <w:r w:rsidR="00B855C0">
        <w:t xml:space="preserve"> </w:t>
      </w:r>
      <w:r w:rsidR="00DB170A">
        <w:t>valdes loceklis</w:t>
      </w:r>
      <w:r>
        <w:t>;</w:t>
      </w:r>
    </w:p>
    <w:p w14:paraId="105C57E4" w14:textId="3C101067" w:rsidR="00EB57E4" w:rsidRDefault="00EB57E4" w:rsidP="006F31C1">
      <w:pPr>
        <w:pStyle w:val="ListParagraph"/>
        <w:numPr>
          <w:ilvl w:val="0"/>
          <w:numId w:val="33"/>
        </w:numPr>
      </w:pPr>
      <w:r>
        <w:t>Inguna Grīnšteine</w:t>
      </w:r>
      <w:r w:rsidR="00996B06">
        <w:t xml:space="preserve"> </w:t>
      </w:r>
      <w:r>
        <w:t xml:space="preserve">- </w:t>
      </w:r>
      <w:r w:rsidR="00DB170A">
        <w:t xml:space="preserve">SIA </w:t>
      </w:r>
      <w:r w:rsidR="00497883">
        <w:t>“</w:t>
      </w:r>
      <w:r w:rsidR="00DB170A">
        <w:t>Pharmidea</w:t>
      </w:r>
      <w:r w:rsidR="00497883">
        <w:t>”</w:t>
      </w:r>
      <w:r w:rsidR="00DB170A">
        <w:t xml:space="preserve"> </w:t>
      </w:r>
      <w:r w:rsidR="005C2968">
        <w:t>projektu vadītāja</w:t>
      </w:r>
      <w:r w:rsidR="00765242">
        <w:t xml:space="preserve"> ar doktora grādu organiskajā ķīmijā;</w:t>
      </w:r>
    </w:p>
    <w:p w14:paraId="41A486B7" w14:textId="4F5211EA" w:rsidR="00EB57E4" w:rsidRDefault="00EB57E4" w:rsidP="006F31C1">
      <w:pPr>
        <w:pStyle w:val="ListParagraph"/>
        <w:numPr>
          <w:ilvl w:val="0"/>
          <w:numId w:val="33"/>
        </w:numPr>
      </w:pPr>
      <w:r>
        <w:t xml:space="preserve">Ēriks </w:t>
      </w:r>
      <w:r w:rsidR="00F625B0">
        <w:t>J</w:t>
      </w:r>
      <w:r>
        <w:t>akobsons</w:t>
      </w:r>
      <w:r w:rsidR="005C2968">
        <w:t xml:space="preserve"> – AS </w:t>
      </w:r>
      <w:r w:rsidR="00497883">
        <w:t>“</w:t>
      </w:r>
      <w:r w:rsidR="005C2968">
        <w:t>Sistēmas Inovācijas</w:t>
      </w:r>
      <w:r w:rsidR="00497883">
        <w:t>”</w:t>
      </w:r>
      <w:r w:rsidR="005C2968">
        <w:t xml:space="preserve"> </w:t>
      </w:r>
      <w:r w:rsidR="00BB0295">
        <w:t>projektu vadītājs</w:t>
      </w:r>
      <w:r>
        <w:t>;</w:t>
      </w:r>
    </w:p>
    <w:p w14:paraId="5FD0FFDB" w14:textId="1729F2EA" w:rsidR="00EB57E4" w:rsidRDefault="00EB57E4" w:rsidP="006F31C1">
      <w:pPr>
        <w:pStyle w:val="ListParagraph"/>
        <w:numPr>
          <w:ilvl w:val="0"/>
          <w:numId w:val="33"/>
        </w:numPr>
      </w:pPr>
      <w:r>
        <w:t>Kārlis Kupčs</w:t>
      </w:r>
      <w:r w:rsidR="00BA6CA0">
        <w:t xml:space="preserve"> </w:t>
      </w:r>
      <w:r>
        <w:t xml:space="preserve">- </w:t>
      </w:r>
      <w:r w:rsidR="00330B01">
        <w:t>Magnētiskās rezonanses centra “Diamed”</w:t>
      </w:r>
      <w:r w:rsidR="00636FEA">
        <w:t xml:space="preserve"> </w:t>
      </w:r>
      <w:r w:rsidR="00330B01">
        <w:t xml:space="preserve">valdes loceklis, RSU Padomes locekli un P.Stradiņa klīniskās universitātes slimnīcas </w:t>
      </w:r>
      <w:r w:rsidR="00033C3E">
        <w:t>diagnostiskās radioloģijas inst</w:t>
      </w:r>
      <w:r w:rsidR="00636FEA">
        <w:t>i</w:t>
      </w:r>
      <w:r w:rsidR="00F625B0">
        <w:t>t</w:t>
      </w:r>
      <w:r w:rsidR="00033C3E">
        <w:t>ūta vadītājs</w:t>
      </w:r>
      <w:r>
        <w:t>;</w:t>
      </w:r>
    </w:p>
    <w:p w14:paraId="48019C92" w14:textId="5BB57883" w:rsidR="00EB57E4" w:rsidRDefault="00EB57E4" w:rsidP="006F31C1">
      <w:pPr>
        <w:pStyle w:val="ListParagraph"/>
        <w:numPr>
          <w:ilvl w:val="0"/>
          <w:numId w:val="33"/>
        </w:numPr>
      </w:pPr>
      <w:r>
        <w:t>Gints Cīrulis</w:t>
      </w:r>
      <w:r w:rsidR="00723B95">
        <w:t xml:space="preserve"> </w:t>
      </w:r>
      <w:r>
        <w:t xml:space="preserve">- </w:t>
      </w:r>
      <w:r w:rsidR="0059289C">
        <w:t>Rīgas Austrumu klīnikas universitātes medicīnas tehnoloģiju direktors</w:t>
      </w:r>
      <w:r w:rsidR="00A745D4">
        <w:t xml:space="preserve"> un Rīgas Tehniskās universitātes pasniedzējs</w:t>
      </w:r>
      <w:r>
        <w:t>.</w:t>
      </w:r>
    </w:p>
    <w:p w14:paraId="597F79F7" w14:textId="48AB8F56" w:rsidR="00E30513" w:rsidRDefault="00E30513" w:rsidP="006F31C1">
      <w:pPr>
        <w:pStyle w:val="ListParagraph"/>
        <w:numPr>
          <w:ilvl w:val="0"/>
          <w:numId w:val="33"/>
        </w:numPr>
      </w:pPr>
      <w:r>
        <w:t>Ekonomikas ministrijas pārstāvis</w:t>
      </w:r>
      <w:r w:rsidR="00B562B3">
        <w:t>.</w:t>
      </w:r>
    </w:p>
    <w:p w14:paraId="7D216C4F" w14:textId="2CB29605" w:rsidR="008958B5" w:rsidRDefault="008958B5" w:rsidP="00B562B3">
      <w:r w:rsidRPr="002319D2">
        <w:t>Starpnozaru eksperti tiek piesaistīti, ja par to lemj pētniecisko projektu atlases padome</w:t>
      </w:r>
      <w:r>
        <w:t>.</w:t>
      </w:r>
    </w:p>
    <w:p w14:paraId="4AC37AD0" w14:textId="29403984" w:rsidR="008107A7" w:rsidRPr="008107A7" w:rsidRDefault="005D48E8" w:rsidP="00AA7AA5">
      <w:pPr>
        <w:rPr>
          <w:highlight w:val="yellow"/>
        </w:rPr>
      </w:pPr>
      <w:r w:rsidRPr="00156C6D">
        <w:t xml:space="preserve">Projektu atlases padomes </w:t>
      </w:r>
      <w:r>
        <w:t xml:space="preserve">iesniedzēju pilnu sarakstu, izvērtēšanas protokolu un </w:t>
      </w:r>
      <w:r w:rsidRPr="00156C6D">
        <w:t>CV</w:t>
      </w:r>
      <w:r>
        <w:t xml:space="preserve"> </w:t>
      </w:r>
      <w:r w:rsidRPr="00156C6D">
        <w:t>skatīt pielikumā.</w:t>
      </w:r>
      <w:r w:rsidR="00D16DDE">
        <w:t xml:space="preserve"> </w:t>
      </w:r>
      <w:r w:rsidR="00AA7AA5" w:rsidRPr="001B5B8C">
        <w:t>Padomes sastāvs ir optimāls, lai profesionāli izvērtētu kompetences centrā iesniegtos pētniecības projektus</w:t>
      </w:r>
      <w:r w:rsidR="00AA7AA5">
        <w:t xml:space="preserve">, kā arī izvērtētu </w:t>
      </w:r>
      <w:r w:rsidR="00AA7AA5" w:rsidRPr="00B22774">
        <w:t xml:space="preserve"> pētniecības projektos </w:t>
      </w:r>
      <w:r w:rsidR="00AA7AA5">
        <w:t>sasniegtos starpposmu rezultātu rādītājus projektu īstenošanas laikā. Nepieciešamības gadījumā tiks piesaistīti eksperti konkrēta projekta izvērtēšanai. Padomes sastāva izmaiņu gadījumā tiks nodrošināts, lai tiktu pārstāvēts gan nozares ekspertu, gan zinātnisko institūciju pārstāvju apstiprinājums visiem padomes lēmumiem.</w:t>
      </w:r>
      <w:r w:rsidR="008107A7">
        <w:rPr>
          <w:highlight w:val="yellow"/>
        </w:rPr>
        <w:t xml:space="preserve"> </w:t>
      </w:r>
    </w:p>
    <w:p w14:paraId="75207652" w14:textId="77777777" w:rsidR="00301AA3" w:rsidRDefault="00301AA3" w:rsidP="00072C23">
      <w:pPr>
        <w:pStyle w:val="Heading2"/>
      </w:pPr>
      <w:bookmarkStart w:id="15" w:name="_Toc119072219"/>
      <w:r>
        <w:t>Jomas attīstības tendences pasaulē</w:t>
      </w:r>
      <w:bookmarkEnd w:id="15"/>
    </w:p>
    <w:p w14:paraId="2C9312C2" w14:textId="202315CD" w:rsidR="00301AA3" w:rsidRDefault="00301AA3" w:rsidP="00301AA3">
      <w:r>
        <w:t xml:space="preserve">Farmācijas un kosmētikas nozares ir ķīmijas industrijas apakšnozares, kopā sastādot vairāk par pusi no tās apgrozījuma vērtības. Ķīmijas </w:t>
      </w:r>
      <w:r w:rsidRPr="00413932">
        <w:t>nozare pasaulē ir viena no visstraujāk augošajām nozarēm. No pagājušā gadsimta astoņdesmito gadu vidus tā ir augusi vidēji par 7 % gadā</w:t>
      </w:r>
      <w:r>
        <w:t xml:space="preserve">, </w:t>
      </w:r>
      <w:r w:rsidRPr="00413932">
        <w:t>sasniedzot EUR </w:t>
      </w:r>
      <w:r w:rsidR="001029B4">
        <w:t>3,36</w:t>
      </w:r>
      <w:r w:rsidRPr="00413932">
        <w:t xml:space="preserve"> triljonus, 201</w:t>
      </w:r>
      <w:r w:rsidR="001029B4">
        <w:t>6</w:t>
      </w:r>
      <w:r w:rsidRPr="00413932">
        <w:t>. gadā</w:t>
      </w:r>
      <w:r w:rsidRPr="00413932">
        <w:rPr>
          <w:rStyle w:val="FootnoteReference"/>
        </w:rPr>
        <w:footnoteReference w:id="2"/>
      </w:r>
      <w:r w:rsidRPr="00413932">
        <w:t xml:space="preserve"> </w:t>
      </w:r>
      <w:r w:rsidRPr="00413932">
        <w:rPr>
          <w:rStyle w:val="FootnoteReference"/>
        </w:rPr>
        <w:footnoteReference w:id="3"/>
      </w:r>
      <w:r w:rsidRPr="00413932">
        <w:t>, salīdzinot</w:t>
      </w:r>
      <w:r>
        <w:t xml:space="preserve"> ar vidējo pieaugumu pasaules ekonomikā 2</w:t>
      </w:r>
      <w:r w:rsidRPr="002868FF">
        <w:t> </w:t>
      </w:r>
      <w:r>
        <w:t>% gadā. Lielāko daļu izaugsmes ir nodrošinājusi Āzija.</w:t>
      </w:r>
    </w:p>
    <w:p w14:paraId="2143763E" w14:textId="7D082F90" w:rsidR="00301AA3" w:rsidRDefault="00301AA3" w:rsidP="00301AA3">
      <w:pPr>
        <w:pStyle w:val="Caption"/>
      </w:pPr>
      <w:r>
        <w:lastRenderedPageBreak/>
        <w:t xml:space="preserve">Ilustrācija </w:t>
      </w:r>
      <w:r w:rsidR="009B704C">
        <w:rPr>
          <w:noProof/>
        </w:rPr>
        <w:fldChar w:fldCharType="begin"/>
      </w:r>
      <w:r w:rsidR="009B704C">
        <w:rPr>
          <w:noProof/>
        </w:rPr>
        <w:instrText xml:space="preserve"> SEQ Ilustrācija \* ARABIC </w:instrText>
      </w:r>
      <w:r w:rsidR="009B704C">
        <w:rPr>
          <w:noProof/>
        </w:rPr>
        <w:fldChar w:fldCharType="separate"/>
      </w:r>
      <w:r w:rsidR="0066799B">
        <w:rPr>
          <w:noProof/>
        </w:rPr>
        <w:t>1</w:t>
      </w:r>
      <w:r w:rsidR="009B704C">
        <w:rPr>
          <w:noProof/>
        </w:rPr>
        <w:fldChar w:fldCharType="end"/>
      </w:r>
      <w:r>
        <w:t xml:space="preserve">. Ķīmijas nozares produkcijas pārdošana pasaulē pa sektoriem. Avots </w:t>
      </w:r>
      <w:r w:rsidRPr="00EF2CA3">
        <w:rPr>
          <w:rFonts w:ascii="Segoe UI" w:hAnsi="Segoe UI" w:cs="Segoe UI"/>
          <w:szCs w:val="24"/>
        </w:rPr>
        <w:t xml:space="preserve">Cefic, </w:t>
      </w:r>
      <w:r>
        <w:rPr>
          <w:rFonts w:ascii="Segoe UI" w:hAnsi="Segoe UI" w:cs="Segoe UI"/>
          <w:szCs w:val="24"/>
        </w:rPr>
        <w:t>„</w:t>
      </w:r>
      <w:r w:rsidRPr="00EF2CA3">
        <w:rPr>
          <w:rFonts w:ascii="Segoe UI" w:hAnsi="Segoe UI" w:cs="Segoe UI"/>
          <w:szCs w:val="24"/>
        </w:rPr>
        <w:t>The European Chemical Industry Facts &amp; Figures</w:t>
      </w:r>
      <w:r w:rsidR="009B704C">
        <w:rPr>
          <w:rFonts w:ascii="Segoe UI" w:hAnsi="Segoe UI" w:cs="Segoe UI"/>
          <w:szCs w:val="24"/>
        </w:rPr>
        <w:t xml:space="preserve">” </w:t>
      </w:r>
      <w:r w:rsidRPr="00EF2CA3">
        <w:rPr>
          <w:rFonts w:ascii="Segoe UI" w:hAnsi="Segoe UI" w:cs="Segoe UI"/>
          <w:szCs w:val="24"/>
        </w:rPr>
        <w:t>201</w:t>
      </w:r>
      <w:r w:rsidR="00784347">
        <w:rPr>
          <w:rFonts w:ascii="Segoe UI" w:hAnsi="Segoe UI" w:cs="Segoe UI"/>
          <w:szCs w:val="24"/>
        </w:rPr>
        <w:t>7</w:t>
      </w:r>
      <w:r w:rsidRPr="00EF2CA3">
        <w:rPr>
          <w:rFonts w:ascii="Segoe UI" w:hAnsi="Segoe UI" w:cs="Segoe UI"/>
          <w:szCs w:val="24"/>
        </w:rPr>
        <w:t>.</w:t>
      </w:r>
    </w:p>
    <w:p w14:paraId="341BF33A" w14:textId="3E159C33" w:rsidR="00301AA3" w:rsidRDefault="00485C5D" w:rsidP="00301AA3">
      <w:pPr>
        <w:pStyle w:val="Chart"/>
      </w:pPr>
      <w:r>
        <w:drawing>
          <wp:inline distT="0" distB="0" distL="0" distR="0" wp14:anchorId="0F68E2B5" wp14:editId="42384251">
            <wp:extent cx="5278120" cy="3098165"/>
            <wp:effectExtent l="0" t="0" r="0" b="698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278120" cy="3098165"/>
                    </a:xfrm>
                    <a:prstGeom prst="rect">
                      <a:avLst/>
                    </a:prstGeom>
                  </pic:spPr>
                </pic:pic>
              </a:graphicData>
            </a:graphic>
          </wp:inline>
        </w:drawing>
      </w:r>
    </w:p>
    <w:p w14:paraId="2F4ED595" w14:textId="77777777" w:rsidR="00301AA3" w:rsidRDefault="00301AA3" w:rsidP="00301AA3">
      <w:r>
        <w:t>Ķīmijas uzņēmumi pakāpeniski savu darbību pārceļ uz Āziju un ASV, ko slānekļa gāze un attiecīgās dabasgāzes un elektroenerģijas cenu priekšrocības ir padarījušas par pievilcīgu vietu investīcijām un ražošanai</w:t>
      </w:r>
      <w:r>
        <w:rPr>
          <w:rStyle w:val="FootnoteReference"/>
        </w:rPr>
        <w:footnoteReference w:id="4"/>
      </w:r>
      <w:r>
        <w:t xml:space="preserve">. Pamatvielu ražošana ASV un Āzijā kļūst arvien </w:t>
      </w:r>
      <w:r w:rsidRPr="007A45A9">
        <w:t>lētāka</w:t>
      </w:r>
      <w:r>
        <w:t>, un Eiropas uzņēmumiem kļūst arvien grūtāk konkurēt šajā jomā. Tāpēc paredzams, ka aizvien vairāk Eiropas uzņēmumu mainīs savu tirgus pieeju, veidojot nišas produktus, kuru izstrādei nepieciešamas lielas kapitāla investīcijas.</w:t>
      </w:r>
    </w:p>
    <w:p w14:paraId="7E6482FA" w14:textId="6950B8D6" w:rsidR="00301AA3" w:rsidRPr="007B6B08" w:rsidRDefault="00301AA3" w:rsidP="00301AA3">
      <w:r w:rsidRPr="007B6B08">
        <w:t xml:space="preserve">Saskaņā ar </w:t>
      </w:r>
      <w:r w:rsidRPr="00C561AF">
        <w:rPr>
          <w:i/>
        </w:rPr>
        <w:t xml:space="preserve">Cefic </w:t>
      </w:r>
      <w:r w:rsidRPr="007B6B08">
        <w:t>datiem 201</w:t>
      </w:r>
      <w:r w:rsidR="009F7EB4">
        <w:t>6</w:t>
      </w:r>
      <w:r w:rsidRPr="007B6B08">
        <w:t xml:space="preserve">. gadā Eiropas ķīmijas nozares uzņēmumi P&amp;A ieguldīja vidēji </w:t>
      </w:r>
      <w:r w:rsidR="009F7EB4">
        <w:t>8.</w:t>
      </w:r>
      <w:r w:rsidRPr="007B6B08">
        <w:t>6</w:t>
      </w:r>
      <w:r>
        <w:t> </w:t>
      </w:r>
      <w:r w:rsidRPr="007B6B08">
        <w:t>% no apgrozījuma.</w:t>
      </w:r>
      <w:r>
        <w:t xml:space="preserve"> No attīstītajām valstīm vislielākais ķīmijas nozares P&amp;A ieguldījums ir Japānā, kur tas sasniedz 4,0 % no pārdošanas apjoma</w:t>
      </w:r>
      <w:r>
        <w:rPr>
          <w:rStyle w:val="FootnoteReference"/>
        </w:rPr>
        <w:footnoteReference w:id="5"/>
      </w:r>
      <w:r>
        <w:t>.</w:t>
      </w:r>
    </w:p>
    <w:p w14:paraId="7101A674" w14:textId="06745C13" w:rsidR="00301AA3" w:rsidRPr="007B6B08" w:rsidRDefault="00301AA3" w:rsidP="00301AA3">
      <w:r>
        <w:t>Ķīmijas nozare, kas nodarbojas ar ķīmisko vielu ražošanu un pārstrādi</w:t>
      </w:r>
      <w:r w:rsidR="00077176">
        <w:rPr>
          <w:rStyle w:val="FootnoteReference"/>
        </w:rPr>
        <w:footnoteReference w:id="6"/>
      </w:r>
      <w:r>
        <w:t>, saskaņā ar 2003. gadā veikto analīzi pasaules mērogā uzskatāma par nobriedušu un dinamisku vienlaikus. Industriju jau 20 gadus raksturo stabils un salīdzinoši precīzi prognozējams pieprasījums un piedāvājums. Neskatoties uz to, ķīmijas nozarē uzņēmumu vērtība un to spējas ir ārkārtīgi atšķirīgas. ASV 20 procenti apakšējās kvartiles uzņēmumu pēc atdeves uz kapitālu (ROIC) pirms desmit gadiem ieņēma vietas otrajā kvartilē</w:t>
      </w:r>
      <w:r>
        <w:rPr>
          <w:rStyle w:val="FootnoteReference"/>
        </w:rPr>
        <w:footnoteReference w:id="7"/>
      </w:r>
      <w:r>
        <w:t>. Tas liecina, ka vismaz lielo uzņēmumu segmentā nozare piedāvā izaugsmes iespējas, taču vienlaikus bargi soda tos, kuri neseko līdzi laikam.</w:t>
      </w:r>
    </w:p>
    <w:p w14:paraId="675BB73C" w14:textId="77777777" w:rsidR="00301AA3" w:rsidRPr="00D81378" w:rsidRDefault="00301AA3" w:rsidP="006F31C1">
      <w:pPr>
        <w:pStyle w:val="Heading3"/>
        <w:numPr>
          <w:ilvl w:val="2"/>
          <w:numId w:val="9"/>
        </w:numPr>
      </w:pPr>
      <w:r w:rsidRPr="00D81378">
        <w:t>Farmācijas nozare</w:t>
      </w:r>
    </w:p>
    <w:p w14:paraId="449165D1" w14:textId="5F0293E4" w:rsidR="00301AA3" w:rsidRDefault="00301AA3" w:rsidP="00301AA3">
      <w:bookmarkStart w:id="16" w:name="_Hlk528914364"/>
      <w:r>
        <w:t xml:space="preserve">Kopējais zāļu tirgus pasaulē 2011. gadā vērtējams USD </w:t>
      </w:r>
      <w:r w:rsidR="00E13060">
        <w:t xml:space="preserve">965 </w:t>
      </w:r>
      <w:r>
        <w:t xml:space="preserve">miljardu apmērā, </w:t>
      </w:r>
      <w:r w:rsidR="00E13060">
        <w:t xml:space="preserve">2018. gadā </w:t>
      </w:r>
      <w:r>
        <w:t xml:space="preserve">šis skaitlis jau USD </w:t>
      </w:r>
      <w:r w:rsidR="00E13060">
        <w:t xml:space="preserve">ir 1105 </w:t>
      </w:r>
      <w:r>
        <w:t xml:space="preserve">triljonu. Salīdzinājumam </w:t>
      </w:r>
      <w:r>
        <w:rPr>
          <w:rFonts w:cstheme="minorHAnsi"/>
        </w:rPr>
        <w:t xml:space="preserve">— </w:t>
      </w:r>
      <w:r>
        <w:t>Latvijas farmācijas uzņēmumu īpatsvars pasaules tirgos ir 0,02 %, t. i., aptuveni divas desmittūkstošās daļas no pasaules tirgus</w:t>
      </w:r>
      <w:bookmarkEnd w:id="16"/>
      <w:r>
        <w:t>.</w:t>
      </w:r>
    </w:p>
    <w:p w14:paraId="18FBE7C8" w14:textId="77777777" w:rsidR="00301AA3" w:rsidRDefault="00301AA3" w:rsidP="00301AA3">
      <w:r w:rsidRPr="002319D2">
        <w:rPr>
          <w:highlight w:val="yellow"/>
        </w:rPr>
        <w:lastRenderedPageBreak/>
        <w:t>Visstraujāk augošais tirgus ir attīstības valstīs, un tas gūst aizvien lielāku uzmanību no vadošajiem farmācijas tirgus dalībniekiem. Sagaidāms, ka faktiski visu pieaugumu no 2011. gada līdz 2016. gadam nodrošinās attīstības valstis. Attīstību valstu tirgus šajā laikā pieaugs vairāk kā par 50 %. Tāpat mainās farmācijas uzņēmumu fokuss. Ja līdz 2011. gadam attīstības tirgus aizņēma vairāk kā 45 % no pārdošanas tikai 1 % no uzņēmumu skaita, tad piecu gadu laikā šādu uzņēmumu skaits pieaugs līdz 15 %</w:t>
      </w:r>
      <w:r w:rsidRPr="002319D2">
        <w:rPr>
          <w:rStyle w:val="FootnoteReference"/>
          <w:highlight w:val="yellow"/>
        </w:rPr>
        <w:footnoteReference w:id="8"/>
      </w:r>
      <w:r w:rsidRPr="002319D2">
        <w:rPr>
          <w:highlight w:val="yellow"/>
        </w:rPr>
        <w:t>. Jāatzīmē, ka Latvijas uzņēmumi faktiski 100 % eksportē uz tirgiem, ko varētu uzskatīt par attīstības tirgiem. Par galveno problēmu attīstības tirgos farmācijas uzņēmumi uzskata tirgus šķēršļus un to specifiku. Latvijas uzņēmumu pieredze attīstības tirgos jāuzskata par attīstības iespēju.</w:t>
      </w:r>
    </w:p>
    <w:p w14:paraId="12F7A9DE" w14:textId="77777777" w:rsidR="00301AA3" w:rsidRDefault="00301AA3" w:rsidP="00301AA3">
      <w:r>
        <w:t xml:space="preserve">Viens no pasaules farmācijas industrijas aktuālākajiem diskusiju tematiem ir patentu krauja </w:t>
      </w:r>
      <w:r>
        <w:rPr>
          <w:rFonts w:cstheme="minorHAnsi"/>
        </w:rPr>
        <w:t>—</w:t>
      </w:r>
      <w:r>
        <w:t xml:space="preserve"> ievērojama spektram oriģinālzāļu beigsies patenti virknei ienesīgu oriģinālzāļu. Tiek lēsts, ka industrija zaudēs USD 120 miljardus ieņēmumus galvenajos rietumvalstu tirgos no 2011 līdz 2015. gadam</w:t>
      </w:r>
      <w:r>
        <w:rPr>
          <w:rStyle w:val="FootnoteReference"/>
        </w:rPr>
        <w:footnoteReference w:id="9"/>
      </w:r>
      <w:r>
        <w:t xml:space="preserve">. Attīstības tirgos ekskluzivitātes beigšanās no 2012. gada līdz 2016. gadam pakļaus riskam farmaceitisko produktu pārdošanu USD 21,4 miljardu apmērā. </w:t>
      </w:r>
    </w:p>
    <w:p w14:paraId="423C64B1" w14:textId="77777777" w:rsidR="00301AA3" w:rsidRDefault="00301AA3" w:rsidP="00301AA3">
      <w:r>
        <w:t>Kaut arī patentu krauja ir pamatīgs trieciens pasaules lielo farmācijas uzņēmumu vērtībai, Latvijas farmācijas industrija var apsvērt trīs netiešus efektus:</w:t>
      </w:r>
    </w:p>
    <w:p w14:paraId="21EFB93D" w14:textId="30DF09A8" w:rsidR="00301AA3" w:rsidRPr="003B4F3F" w:rsidRDefault="00301AA3" w:rsidP="00301AA3">
      <w:pPr>
        <w:pStyle w:val="BulletsF"/>
      </w:pPr>
      <w:r>
        <w:t>p</w:t>
      </w:r>
      <w:r w:rsidRPr="003B4F3F">
        <w:t>atērētājiem atbrīvosies ievērojami līdzekļi, ko tie tērēs patentbrīvajām zālēm</w:t>
      </w:r>
      <w:r w:rsidR="00077176">
        <w:t>, kurus galvenokārt ražo Latvijas uzņēmumi</w:t>
      </w:r>
      <w:r w:rsidRPr="003B4F3F">
        <w:t>;</w:t>
      </w:r>
    </w:p>
    <w:p w14:paraId="04A211F6" w14:textId="77777777" w:rsidR="00301AA3" w:rsidRDefault="00301AA3" w:rsidP="00301AA3">
      <w:pPr>
        <w:pStyle w:val="BulletsF"/>
      </w:pPr>
      <w:r>
        <w:t>l</w:t>
      </w:r>
      <w:r w:rsidRPr="003B4F3F">
        <w:t xml:space="preserve">ielo farmācijas uzņēmumu tendence samazināt P&amp;A izmaksas un P&amp;A departamentus izdalīt ārpus uzņēmumiem rada labākas pakalpojumu iespējas Latvijas vadošajai </w:t>
      </w:r>
      <w:r>
        <w:t>p</w:t>
      </w:r>
      <w:r w:rsidRPr="003B4F3F">
        <w:t xml:space="preserve">ētniecības </w:t>
      </w:r>
      <w:r>
        <w:t>o</w:t>
      </w:r>
      <w:r w:rsidRPr="003B4F3F">
        <w:t xml:space="preserve">rganizācijai </w:t>
      </w:r>
      <w:r>
        <w:rPr>
          <w:rFonts w:cstheme="minorHAnsi"/>
        </w:rPr>
        <w:t>—</w:t>
      </w:r>
      <w:r w:rsidRPr="003B4F3F">
        <w:t xml:space="preserve"> Organiskās </w:t>
      </w:r>
      <w:r>
        <w:t>s</w:t>
      </w:r>
      <w:r w:rsidRPr="003B4F3F">
        <w:t>intēzes institūtam</w:t>
      </w:r>
      <w:r w:rsidRPr="7E0D63A4">
        <w:t>;</w:t>
      </w:r>
    </w:p>
    <w:p w14:paraId="5897B1B4" w14:textId="77777777" w:rsidR="00301AA3" w:rsidRDefault="00301AA3" w:rsidP="00301AA3">
      <w:pPr>
        <w:pStyle w:val="BulletsF"/>
      </w:pPr>
      <w:r>
        <w:t>m</w:t>
      </w:r>
      <w:r w:rsidRPr="003B4F3F">
        <w:t xml:space="preserve">edicīnas orientēšanās uz personālo medicīnu eventuāli samazina mēroga priekšrocības, radot mazāku partiju zāļu nišas, kas būtu mazāk pievilcīgas lielajiem farmācijas uzņēmumiem un būtu vieglāk apgūstamas mazākiem </w:t>
      </w:r>
      <w:r>
        <w:t>un</w:t>
      </w:r>
      <w:r w:rsidRPr="003B4F3F">
        <w:t xml:space="preserve"> elastīgākiem tirgus dalībniekiem. Spēju veidošana šādā tirgū ir viens no valsts līdzdalības veidiem.</w:t>
      </w:r>
    </w:p>
    <w:p w14:paraId="4E892E17" w14:textId="5062B0D3" w:rsidR="00301AA3" w:rsidRDefault="00301AA3" w:rsidP="00301AA3">
      <w:pPr>
        <w:pStyle w:val="Caption"/>
      </w:pPr>
      <w:r w:rsidRPr="00694F41">
        <w:t>Ilustrācija</w:t>
      </w:r>
      <w:r>
        <w:t xml:space="preserve"> </w:t>
      </w:r>
      <w:r w:rsidR="009B704C">
        <w:rPr>
          <w:noProof/>
        </w:rPr>
        <w:fldChar w:fldCharType="begin"/>
      </w:r>
      <w:r w:rsidR="009B704C">
        <w:rPr>
          <w:noProof/>
        </w:rPr>
        <w:instrText xml:space="preserve"> SEQ Ilustrācija \* ARABIC </w:instrText>
      </w:r>
      <w:r w:rsidR="009B704C">
        <w:rPr>
          <w:noProof/>
        </w:rPr>
        <w:fldChar w:fldCharType="separate"/>
      </w:r>
      <w:r w:rsidR="0066799B">
        <w:rPr>
          <w:noProof/>
        </w:rPr>
        <w:t>2</w:t>
      </w:r>
      <w:r w:rsidR="009B704C">
        <w:rPr>
          <w:noProof/>
        </w:rPr>
        <w:fldChar w:fldCharType="end"/>
      </w:r>
      <w:r>
        <w:rPr>
          <w:noProof/>
        </w:rPr>
        <w:t xml:space="preserve">. </w:t>
      </w:r>
      <w:r>
        <w:t>.Jaunu zāļu radīšana cikls. Avots National Center for Advancing Translation Sciences</w:t>
      </w:r>
      <w:r>
        <w:rPr>
          <w:rStyle w:val="FootnoteReference"/>
        </w:rPr>
        <w:footnoteReference w:id="10"/>
      </w:r>
    </w:p>
    <w:p w14:paraId="7FBA112D" w14:textId="77777777" w:rsidR="00301AA3" w:rsidRPr="00407CFD" w:rsidRDefault="00301AA3" w:rsidP="00301AA3">
      <w:pPr>
        <w:pStyle w:val="Chart"/>
      </w:pPr>
      <w:r w:rsidRPr="00407CFD">
        <w:drawing>
          <wp:inline distT="0" distB="0" distL="0" distR="0" wp14:anchorId="185BB25E" wp14:editId="10D68B14">
            <wp:extent cx="3740644" cy="279082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748143" cy="2796420"/>
                    </a:xfrm>
                    <a:prstGeom prst="rect">
                      <a:avLst/>
                    </a:prstGeom>
                    <a:noFill/>
                    <a:ln>
                      <a:noFill/>
                    </a:ln>
                  </pic:spPr>
                </pic:pic>
              </a:graphicData>
            </a:graphic>
          </wp:inline>
        </w:drawing>
      </w:r>
    </w:p>
    <w:p w14:paraId="2031EFF9" w14:textId="77777777" w:rsidR="00301AA3" w:rsidRDefault="00301AA3" w:rsidP="00301AA3">
      <w:r>
        <w:lastRenderedPageBreak/>
        <w:t xml:space="preserve">Farmācijā nemitīgi palielinās jaunu zāļu izstrādes cena. </w:t>
      </w:r>
      <w:r w:rsidRPr="00407CFD">
        <w:t xml:space="preserve">Jaunu oriģinālzāļu izstrādes laiks vienam preparātam </w:t>
      </w:r>
      <w:r>
        <w:t xml:space="preserve">gadsimta sākumā bija </w:t>
      </w:r>
      <w:r w:rsidRPr="00407CFD">
        <w:t xml:space="preserve">10-15 gadi, ar vidējo cenu par vienu preparātu </w:t>
      </w:r>
      <w:r>
        <w:t xml:space="preserve">USD </w:t>
      </w:r>
      <w:r w:rsidRPr="00407CFD">
        <w:t>1</w:t>
      </w:r>
      <w:r>
        <w:t>,</w:t>
      </w:r>
      <w:r w:rsidRPr="00407CFD">
        <w:t>2 miljardi</w:t>
      </w:r>
      <w:r w:rsidRPr="00164A22">
        <w:rPr>
          <w:vertAlign w:val="superscript"/>
        </w:rPr>
        <w:footnoteReference w:id="11"/>
      </w:r>
      <w:r>
        <w:t>.</w:t>
      </w:r>
      <w:r w:rsidRPr="00164A22">
        <w:rPr>
          <w:vertAlign w:val="superscript"/>
        </w:rPr>
        <w:t>.</w:t>
      </w:r>
      <w:r w:rsidRPr="00407CFD">
        <w:t xml:space="preserve"> </w:t>
      </w:r>
      <w:r>
        <w:t>Patlaban</w:t>
      </w:r>
      <w:r w:rsidRPr="00407CFD">
        <w:t xml:space="preserve"> pēc dažām aplēsēm šīs izmaksas jau sasniedz </w:t>
      </w:r>
      <w:r>
        <w:t>USD </w:t>
      </w:r>
      <w:r w:rsidRPr="00407CFD">
        <w:t>7</w:t>
      </w:r>
      <w:r>
        <w:t> </w:t>
      </w:r>
      <w:r w:rsidRPr="00407CFD">
        <w:t xml:space="preserve">miljardus par vienu preparātu. Pasaulē vidējais P&amp;A izmaksas </w:t>
      </w:r>
      <w:r>
        <w:t>attiecībā</w:t>
      </w:r>
      <w:r w:rsidRPr="00407CFD">
        <w:t xml:space="preserve"> pret pārdošanu lielajos uzņēmumos ir 17</w:t>
      </w:r>
      <w:r>
        <w:t>,</w:t>
      </w:r>
      <w:r w:rsidRPr="00407CFD">
        <w:t>8</w:t>
      </w:r>
      <w:r>
        <w:t> </w:t>
      </w:r>
      <w:r w:rsidRPr="00407CFD">
        <w:t xml:space="preserve">%, ASV šis skaitlis ir vēl lielāks </w:t>
      </w:r>
      <w:r>
        <w:rPr>
          <w:rFonts w:cstheme="minorHAnsi"/>
        </w:rPr>
        <w:t>—</w:t>
      </w:r>
      <w:r w:rsidRPr="00407CFD">
        <w:t xml:space="preserve"> 22</w:t>
      </w:r>
      <w:r>
        <w:t>,</w:t>
      </w:r>
      <w:r w:rsidRPr="00407CFD">
        <w:t>7</w:t>
      </w:r>
      <w:r>
        <w:t> %</w:t>
      </w:r>
      <w:r w:rsidRPr="00407CFD">
        <w:rPr>
          <w:vertAlign w:val="superscript"/>
        </w:rPr>
        <w:footnoteReference w:id="12"/>
      </w:r>
      <w:r w:rsidRPr="00407CFD">
        <w:t>.</w:t>
      </w:r>
      <w:r>
        <w:t xml:space="preserve"> </w:t>
      </w:r>
    </w:p>
    <w:p w14:paraId="36CFEA6A" w14:textId="45C9B3AA" w:rsidR="00301AA3" w:rsidRDefault="00301AA3" w:rsidP="00301AA3">
      <w:r>
        <w:t xml:space="preserve">Šādu izmaksu kontekstā jaunu oriģinālzāļu izstrāde Latvijā neizskatās ticama. Tomēr jaunās digitālās tehnoloģijas, kas ļauj pārbaudīt esošo aktīvo vielu jaunu izmantojumu, var samazināt jaunu izstrādes zāļu cenu vairākus desmitus reižu. Latvijas zinātne un industrija mēroga ziņā varētu meklēt savu vietu un nišas. Vienlaikus šajā segmentā Latvijas vadošā nozares pētniecības iestāde </w:t>
      </w:r>
      <w:r>
        <w:rPr>
          <w:rFonts w:cstheme="minorHAnsi"/>
        </w:rPr>
        <w:t>—</w:t>
      </w:r>
      <w:r>
        <w:t xml:space="preserve"> Organiskās sintēzes institūts </w:t>
      </w:r>
      <w:r>
        <w:rPr>
          <w:rFonts w:cstheme="minorHAnsi"/>
        </w:rPr>
        <w:t>—</w:t>
      </w:r>
      <w:r>
        <w:t xml:space="preserve"> esošo zāļu aktīvo molekulu jaunu izmantojuma iespēju vērienīgu meklēšanu</w:t>
      </w:r>
      <w:r>
        <w:rPr>
          <w:rStyle w:val="FootnoteReference"/>
        </w:rPr>
        <w:footnoteReference w:id="13"/>
      </w:r>
      <w:r>
        <w:t>, lietojot lielas skaitļošanas jaudas, vērtē skeptiski attiecībā pret līdzšinējām OSI izmantotajām metodēm.</w:t>
      </w:r>
    </w:p>
    <w:p w14:paraId="6160BEDF" w14:textId="77777777" w:rsidR="00301AA3" w:rsidRPr="00D81378" w:rsidRDefault="00301AA3" w:rsidP="00FA39F1">
      <w:pPr>
        <w:pStyle w:val="Heading3"/>
      </w:pPr>
      <w:r w:rsidRPr="00D81378">
        <w:t>Kosmētikas nozare</w:t>
      </w:r>
    </w:p>
    <w:p w14:paraId="57874D19" w14:textId="77777777" w:rsidR="00301AA3" w:rsidRDefault="00301AA3" w:rsidP="00301AA3">
      <w:r>
        <w:t>Pasaules tirgus kosmētikā 2012. gadā bija USD 363,05 miljardi jeb EUR 288 miljardi. No tiem lielākā daļa ir ādas kopšanas līdzekļi (EUR 231,77 miljardi), dekoratīvā kosmētika (EUR 16,95 miljardi), matu kopšanas līdzekļi (EUR 36,96 miljardi) un parfimērijas industrija (EUR 2,32 miljardi). Lielākā daļa kosmētikas tiek ražota Eiropā (Vācija, Francija) un ASV, bet strauji pieaug arī Ķīnas un Korejas produktu tirgus daļa</w:t>
      </w:r>
      <w:r>
        <w:rPr>
          <w:rStyle w:val="FootnoteReference"/>
        </w:rPr>
        <w:footnoteReference w:id="14"/>
      </w:r>
      <w:r>
        <w:t>.</w:t>
      </w:r>
      <w:r w:rsidRPr="00164A22">
        <w:t xml:space="preserve"> </w:t>
      </w:r>
      <w:r>
        <w:t xml:space="preserve">Kosmētikas tirgū pasaulē un arī Latvijā dominē pieci galvenie dalībnieki: </w:t>
      </w:r>
      <w:r w:rsidRPr="00444F84">
        <w:rPr>
          <w:rStyle w:val="Emphasis"/>
        </w:rPr>
        <w:t xml:space="preserve">P&amp;G,Loreal, Estee Lauder, Unilever </w:t>
      </w:r>
      <w:r w:rsidRPr="6324B6F5">
        <w:rPr>
          <w:rStyle w:val="Emphasis"/>
          <w:i w:val="0"/>
          <w:iCs w:val="0"/>
        </w:rPr>
        <w:t>un</w:t>
      </w:r>
      <w:r w:rsidRPr="00444F84">
        <w:rPr>
          <w:rStyle w:val="Emphasis"/>
        </w:rPr>
        <w:t xml:space="preserve"> Avon</w:t>
      </w:r>
      <w:r>
        <w:t xml:space="preserve">. </w:t>
      </w:r>
    </w:p>
    <w:p w14:paraId="7CA59AFC" w14:textId="77777777" w:rsidR="00301AA3" w:rsidRDefault="00301AA3" w:rsidP="00301AA3">
      <w:r>
        <w:t xml:space="preserve">Strauji pieaugot attīstības valstu iedzīvotāju pirktspējai, kosmētikas industrijā mainās dažādu tirgu nozīme. Ja 2012. gadā 56 % no visiem kosmētikas industrijas ieņēmumiem bija attīstītajās valstīs, tad jau </w:t>
      </w:r>
      <w:r w:rsidRPr="6324B6F5">
        <w:rPr>
          <w:rStyle w:val="Emphasis"/>
        </w:rPr>
        <w:t>Euromonitor International</w:t>
      </w:r>
      <w:r>
        <w:t xml:space="preserve"> prognozē, ka </w:t>
      </w:r>
      <w:r w:rsidRPr="002868FF">
        <w:t>2017</w:t>
      </w:r>
      <w:r w:rsidRPr="005C32D8">
        <w:t>. gadā</w:t>
      </w:r>
      <w:r>
        <w:t xml:space="preserve"> attīstības valstis būs lielākais tirgus un ieņems 55 %.</w:t>
      </w:r>
    </w:p>
    <w:p w14:paraId="7837ACC1" w14:textId="77777777" w:rsidR="00301AA3" w:rsidRDefault="00301AA3" w:rsidP="00301AA3">
      <w:r>
        <w:t>Īpašu vietu ieņem ceļojumu mazumtirdzniecības tirgus (lidostas, dzelzceļa stacijas). Ceļojumu mazumtirdzniecība 2012. gadā (</w:t>
      </w:r>
      <w:r w:rsidRPr="00444F84">
        <w:rPr>
          <w:rStyle w:val="Emphasis"/>
        </w:rPr>
        <w:t>travel retail</w:t>
      </w:r>
      <w:r>
        <w:t xml:space="preserve">) pieauga par 21 %, ievērojami pārsniedzot citus kanālus. </w:t>
      </w:r>
    </w:p>
    <w:p w14:paraId="0AEB6805" w14:textId="77777777" w:rsidR="00301AA3" w:rsidRDefault="00301AA3" w:rsidP="00301AA3">
      <w:r>
        <w:t>Visstraujāk pastāvīgi augošais tirgus kosmētikas sektorā ir e-komercija. Starp 2007. un 2012. gadu e-komercijas tirgus kosmētikā vidēji katru gadu (CAGR</w:t>
      </w:r>
      <w:r>
        <w:rPr>
          <w:rStyle w:val="FootnoteReference"/>
        </w:rPr>
        <w:footnoteReference w:id="15"/>
      </w:r>
      <w:r>
        <w:t xml:space="preserve">) auga par 17 %. Saskaņā ar </w:t>
      </w:r>
      <w:r w:rsidRPr="00413932">
        <w:rPr>
          <w:i/>
        </w:rPr>
        <w:t>Statista</w:t>
      </w:r>
      <w:r>
        <w:rPr>
          <w:rStyle w:val="FootnoteReference"/>
        </w:rPr>
        <w:footnoteReference w:id="16"/>
      </w:r>
      <w:r>
        <w:t xml:space="preserve"> prognozēm ASV kosmētikas e-komercijas tirgus augs par 14 % (CAGR) gadā līdz 2017. gadam. Šī izaugsme pamatā notiek uz citu tradicionālo tirdzniecības kanālu izaugsmes rēķina.</w:t>
      </w:r>
    </w:p>
    <w:p w14:paraId="04023DB2" w14:textId="77777777" w:rsidR="00301AA3" w:rsidRDefault="00301AA3" w:rsidP="00301AA3">
      <w:r>
        <w:t>Kosmētikas industrijas bruto peļņas normas ir augstas, jo izejvielu izmaksas, iepakojums un kapitalizētās P&amp;A izmaksas ir salīdzinoši nelielas. Kosmētikas industrijas līderi vidēji 25 % tērē mārketingam un produktu virzībai. Arī vietējie industrijas eksperti</w:t>
      </w:r>
      <w:r w:rsidRPr="005C5312">
        <w:t xml:space="preserve"> </w:t>
      </w:r>
      <w:r>
        <w:t xml:space="preserve">apstiprina, ka industrijas panākumu pamatā ir uzņēmumu spēja pārdot klientam emocijas, nevis funkcionalitāti. </w:t>
      </w:r>
    </w:p>
    <w:p w14:paraId="650579C7" w14:textId="77777777" w:rsidR="00301AA3" w:rsidRPr="00676D2E" w:rsidRDefault="00301AA3" w:rsidP="00301AA3">
      <w:r>
        <w:lastRenderedPageBreak/>
        <w:t>Pieci pasaules tirgus līderi pētniecībai, attīstībai un inovācijām saskaņā ar 2012. gada datiem tērē vidēji 1,9 % no apgrozījuma</w:t>
      </w:r>
      <w:r>
        <w:rPr>
          <w:rStyle w:val="FootnoteReference"/>
        </w:rPr>
        <w:footnoteReference w:id="17"/>
      </w:r>
      <w:r>
        <w:t>.</w:t>
      </w:r>
    </w:p>
    <w:p w14:paraId="1E1DB644" w14:textId="77777777" w:rsidR="00301AA3" w:rsidRDefault="00301AA3" w:rsidP="00301AA3">
      <w:r>
        <w:t>Kosmētikā inovācijas var izšķirt atkarībā no to ietekmes uz uzņēmējdarbības modeli.</w:t>
      </w:r>
    </w:p>
    <w:p w14:paraId="74E6028D" w14:textId="77777777" w:rsidR="00301AA3" w:rsidRDefault="00301AA3" w:rsidP="00301AA3">
      <w:pPr>
        <w:pStyle w:val="BulletsF"/>
      </w:pPr>
      <w:r>
        <w:t xml:space="preserve">Kategoriju inovācijas. Jaunu produktu kategoriju izveidošana, izstrāde, mārketings un ražošana. Piemēram, skaistuma balzamus var uzskatīt par jaunu kategoriju, ko </w:t>
      </w:r>
      <w:r w:rsidRPr="00413932">
        <w:rPr>
          <w:i/>
        </w:rPr>
        <w:t xml:space="preserve">L’Oreal </w:t>
      </w:r>
      <w:r>
        <w:t>ieviesa ASV, kas viena gada laikā</w:t>
      </w:r>
      <w:r w:rsidDel="005C32D8">
        <w:t xml:space="preserve"> </w:t>
      </w:r>
      <w:r>
        <w:t>ASV tirgū</w:t>
      </w:r>
      <w:r w:rsidDel="005C32D8">
        <w:t xml:space="preserve"> </w:t>
      </w:r>
      <w:r>
        <w:t>palielinājās no USD 2 miljoniem līdz USD 36 miljoniem.</w:t>
      </w:r>
    </w:p>
    <w:p w14:paraId="36FCCFBD" w14:textId="77777777" w:rsidR="00301AA3" w:rsidRDefault="00301AA3" w:rsidP="00301AA3">
      <w:pPr>
        <w:pStyle w:val="BulletsF"/>
      </w:pPr>
      <w:r>
        <w:t xml:space="preserve">Iepakojums. Piemēram, tādi </w:t>
      </w:r>
      <w:r w:rsidRPr="00413932">
        <w:rPr>
          <w:i/>
        </w:rPr>
        <w:t>on-the-go</w:t>
      </w:r>
      <w:r>
        <w:t xml:space="preserve"> produkti kā </w:t>
      </w:r>
      <w:r w:rsidRPr="00413932">
        <w:rPr>
          <w:i/>
        </w:rPr>
        <w:t>Olfactory Body Object</w:t>
      </w:r>
      <w:r>
        <w:t xml:space="preserve"> (</w:t>
      </w:r>
      <w:r w:rsidRPr="00413932">
        <w:rPr>
          <w:i/>
        </w:rPr>
        <w:t>OBO</w:t>
      </w:r>
      <w:r>
        <w:t>), kur smaržas tiek ievietotas nelielā bumbiņā, kas ir valkājama kā rokassprādze vai ap kaklu un, kuru pavirpinot, tiek dozēts vajadzīgais daudzums aromāta.</w:t>
      </w:r>
    </w:p>
    <w:p w14:paraId="1BBA4A86" w14:textId="77777777" w:rsidR="00301AA3" w:rsidRPr="004E3CEB" w:rsidRDefault="00301AA3" w:rsidP="00301AA3">
      <w:pPr>
        <w:pStyle w:val="BulletsF"/>
      </w:pPr>
      <w:r>
        <w:t xml:space="preserve">Mārketinga inovācijas. Viedtālruņu jauda vairākiem ražotājiem, piemēram, </w:t>
      </w:r>
      <w:r w:rsidRPr="00413932">
        <w:rPr>
          <w:i/>
        </w:rPr>
        <w:t>L’Oreal</w:t>
      </w:r>
      <w:r>
        <w:t>, ļauj izveidot aplikāciju (</w:t>
      </w:r>
      <w:r w:rsidRPr="6324B6F5">
        <w:rPr>
          <w:i/>
          <w:iCs/>
        </w:rPr>
        <w:t>Makeup Genius</w:t>
      </w:r>
      <w:r>
        <w:t>)</w:t>
      </w:r>
      <w:r w:rsidRPr="00413932">
        <w:rPr>
          <w:sz w:val="16"/>
        </w:rPr>
        <w:footnoteReference w:id="18"/>
      </w:r>
      <w:r>
        <w:t xml:space="preserve">, kas virtuālajā vidē ļauj simulēt to, kā kosmētika izskatīsies uz sejas. </w:t>
      </w:r>
    </w:p>
    <w:p w14:paraId="54C9A762" w14:textId="77777777" w:rsidR="00301AA3" w:rsidRDefault="00301AA3" w:rsidP="00FA39F1">
      <w:pPr>
        <w:pStyle w:val="Heading3"/>
      </w:pPr>
      <w:bookmarkStart w:id="17" w:name="_Toc448413517"/>
      <w:r w:rsidRPr="00D81378">
        <w:t>Tendences</w:t>
      </w:r>
      <w:bookmarkEnd w:id="17"/>
    </w:p>
    <w:p w14:paraId="572736FD" w14:textId="77777777" w:rsidR="00301AA3" w:rsidRPr="005B1923" w:rsidRDefault="00301AA3" w:rsidP="00301AA3">
      <w:r>
        <w:t>Ņemot vērā apskatāmās nozares heterogenitāti, tiek skatītas tikai tendences, kas globālo un nozares attīstību ietekmē kopumā. Atsevišķu sektoru un nišu tehnoloģiskā attīstība netiek analizēta. Būtiskākās tendences ir videi nekaitīgu produktu pieprasījuma pieaugums, lielāka konkurence par augstas pievienotās vērtības produktiem, IT attīstības ietekme uz ražošanas, izplatīšanas un P&amp;A&amp; aktivitātēm, globalizācija un migrācijas rezultātā radušies multikulturāli tirgi, kā arī apvērsums fosilās enerģijas iegūšanā. Vairākas no minētajām tendencēm norāda uz iespējamām būtiskām un straujām izmaiņām tirgos un tehnoloģijās. Uzņēmumu iespējas sagatavoties šādām izmaiņām ir ierobežotas un galvenokārt ir saistītas ar atbilstošas kompetences attīstīšanu, lai straujās tehnoloģiskās izmaiņas varētu izmantot kā iespēju, nevis kā draudu.</w:t>
      </w:r>
    </w:p>
    <w:p w14:paraId="16756054" w14:textId="77777777" w:rsidR="00301AA3" w:rsidRPr="00D81378" w:rsidRDefault="00301AA3" w:rsidP="00FA39F1">
      <w:pPr>
        <w:pStyle w:val="Heading3"/>
      </w:pPr>
      <w:r w:rsidRPr="00D81378">
        <w:t>Kopējās</w:t>
      </w:r>
      <w:r>
        <w:t xml:space="preserve"> globālā </w:t>
      </w:r>
      <w:r w:rsidRPr="00D81378">
        <w:t>tirgus tendences</w:t>
      </w:r>
    </w:p>
    <w:p w14:paraId="2FFD36E1" w14:textId="77777777" w:rsidR="00301AA3" w:rsidRDefault="00301AA3" w:rsidP="00301AA3">
      <w:r w:rsidRPr="6324B6F5">
        <w:rPr>
          <w:b/>
          <w:bCs/>
        </w:rPr>
        <w:t xml:space="preserve">Videi </w:t>
      </w:r>
      <w:r>
        <w:rPr>
          <w:b/>
          <w:bCs/>
        </w:rPr>
        <w:t>nekaitīgi</w:t>
      </w:r>
      <w:r w:rsidRPr="6324B6F5">
        <w:rPr>
          <w:b/>
          <w:bCs/>
        </w:rPr>
        <w:t xml:space="preserve"> produkti kļūst aizvien pieprasīt</w:t>
      </w:r>
      <w:r>
        <w:rPr>
          <w:b/>
          <w:bCs/>
        </w:rPr>
        <w:t>āki</w:t>
      </w:r>
      <w:r w:rsidRPr="6324B6F5">
        <w:rPr>
          <w:b/>
          <w:bCs/>
        </w:rPr>
        <w:t>.</w:t>
      </w:r>
      <w:r>
        <w:t xml:space="preserve"> Patērētāji aizvien biežāk ir gatavi maksāt vairāk par „zaļu” dzīvesveidu. Saskaņā ar </w:t>
      </w:r>
      <w:r w:rsidRPr="6324B6F5">
        <w:rPr>
          <w:i/>
          <w:iCs/>
        </w:rPr>
        <w:t>McKinsey</w:t>
      </w:r>
      <w:r>
        <w:t xml:space="preserve"> pētījumu visaugstāko piemaksu pie cenas par zaļo tehnoloģiju patērētāji ir gatavi ieguldīt iepakojuma industrijā</w:t>
      </w:r>
      <w:r>
        <w:rPr>
          <w:rStyle w:val="FootnoteReference"/>
        </w:rPr>
        <w:footnoteReference w:id="19"/>
      </w:r>
      <w:r>
        <w:t xml:space="preserve"> visā piemaksas diapazonā. Saskaņā ar </w:t>
      </w:r>
      <w:r w:rsidRPr="6324B6F5">
        <w:rPr>
          <w:i/>
          <w:iCs/>
        </w:rPr>
        <w:t>McKinsey</w:t>
      </w:r>
      <w:r>
        <w:t xml:space="preserve"> arī uzņēmumu vadītāji sagaida, ka klienti maksās vairāk par videi saudzīgiem produktiem, tāpēc ir gatavi ieguldīt vairāk materiālos, kas atbilst šādai klasifikācijai. Vienlaikus izšķiroties starp vidi un izmaksām, kvalitāti, atbilstību regulatoru prasībām vai funkcionalitātei, visās kategorijā uzsvars tiks likts uz pēdējo no minētajiem. </w:t>
      </w:r>
    </w:p>
    <w:p w14:paraId="202F30B4" w14:textId="77777777" w:rsidR="00301AA3" w:rsidRDefault="00301AA3" w:rsidP="00301AA3">
      <w:r w:rsidRPr="6324B6F5">
        <w:rPr>
          <w:b/>
          <w:bCs/>
        </w:rPr>
        <w:lastRenderedPageBreak/>
        <w:t xml:space="preserve">Visvairāk B2B klientu, kas pieprasa videi </w:t>
      </w:r>
      <w:r>
        <w:rPr>
          <w:b/>
          <w:bCs/>
        </w:rPr>
        <w:t>nekaitīgus</w:t>
      </w:r>
      <w:r w:rsidRPr="6324B6F5">
        <w:rPr>
          <w:b/>
          <w:bCs/>
        </w:rPr>
        <w:t xml:space="preserve"> produktus ir Eiropā.</w:t>
      </w:r>
      <w:r>
        <w:t xml:space="preserve"> Eiropā 38 % no uzņēmumiem </w:t>
      </w:r>
      <w:r w:rsidRPr="005C32D8">
        <w:t>pa</w:t>
      </w:r>
      <w:r w:rsidRPr="00BC2B76">
        <w:t>stāvīgi</w:t>
      </w:r>
      <w:r>
        <w:t xml:space="preserve"> meklē videi nekaitīgus produktus, salīdzinot ar 28 % Āzijā un tikai 13 % ASV. Viena no industrijām, kas visvairāk pievēršas videi saudzēšanas aspektam, ir iepakotās patēriņa preces (30 % no uzņēmumiem), pēc tās seko medicīnas iekārtas un iepakojums (27 %), elektronika (24 %), celtniecība (21 %) un mašīnbūve (14 %)</w:t>
      </w:r>
      <w:r>
        <w:rPr>
          <w:rStyle w:val="FootnoteReference"/>
        </w:rPr>
        <w:footnoteReference w:id="20"/>
      </w:r>
      <w:r>
        <w:t xml:space="preserve">. Rūpes par vides saudzēšanu ļauj iegūt piemaksu, ja tas netiek nodrošināts uz citu kvalitāšu rēķina. Videi nekaitīgāku produktu ražošana paplašina produktu diferencēšanas iespējas, kas varētu būt nelielo Latvijas uzņēmumu iespēja. </w:t>
      </w:r>
    </w:p>
    <w:p w14:paraId="4D6C307F" w14:textId="77777777" w:rsidR="00301AA3" w:rsidRDefault="00301AA3" w:rsidP="00301AA3">
      <w:r w:rsidRPr="6324B6F5">
        <w:rPr>
          <w:b/>
          <w:bCs/>
        </w:rPr>
        <w:t>Konkurence par augstākas pievienotās vērtības produktiem izejvielu tirgos palielinās</w:t>
      </w:r>
      <w:r w:rsidRPr="002868FF">
        <w:rPr>
          <w:bCs/>
        </w:rPr>
        <w:t>,</w:t>
      </w:r>
      <w:r>
        <w:t xml:space="preserve"> mainoties izejvielu tirgus struktūrai un izlīdzinoties cenu līmenim. Diferencēto izejvielu</w:t>
      </w:r>
      <w:r>
        <w:rPr>
          <w:rStyle w:val="FootnoteReference"/>
        </w:rPr>
        <w:footnoteReference w:id="21"/>
      </w:r>
      <w:r>
        <w:t xml:space="preserve"> īpatsvars tirgū pēc apjoma samazinās. Lai noturētos diferencēto izejvielu segmentā, nepieciešams ieguldīt aizvien lielākus līdzekļus inovācijās</w:t>
      </w:r>
      <w:r>
        <w:rPr>
          <w:rStyle w:val="FootnoteReference"/>
        </w:rPr>
        <w:footnoteReference w:id="22"/>
      </w:r>
      <w:r>
        <w:t>. Ņemot vērā to, ka Latvijas uzņēmumu attīstības iespējas ir augstākas pievienotās vērtības nišās, šāda tendence prasa veltīt lielāku uzmanību P&amp;A aktivitātēm.</w:t>
      </w:r>
    </w:p>
    <w:p w14:paraId="5887569B" w14:textId="228FBB4C" w:rsidR="00A34972" w:rsidRDefault="00A34972" w:rsidP="00A34972">
      <w:pPr>
        <w:pStyle w:val="Heading2"/>
      </w:pPr>
      <w:bookmarkStart w:id="18" w:name="_Toc119072220"/>
      <w:r w:rsidRPr="00A34972">
        <w:t>Jomas attīstības tendences Latvijā</w:t>
      </w:r>
      <w:bookmarkEnd w:id="18"/>
    </w:p>
    <w:p w14:paraId="21D7BDFD" w14:textId="5312345A" w:rsidR="009543FF" w:rsidRDefault="009543FF" w:rsidP="009543FF">
      <w:r>
        <w:t>Farmācijas un kosmētikas nozares ir ķīmijas ķīmijas sektora sastāvdaļas, tāpēc, analizējot tās attiecībā pret ķīmijas nozari, var iegūt papildu sapratni par to īpatnībām.</w:t>
      </w:r>
    </w:p>
    <w:p w14:paraId="6CA069E6" w14:textId="7C6F4459" w:rsidR="009543FF" w:rsidRDefault="009543FF" w:rsidP="009543FF">
      <w:pPr>
        <w:shd w:val="clear" w:color="auto" w:fill="auto"/>
      </w:pPr>
      <w:r>
        <w:t xml:space="preserve">Salīdzinot ar pasaules un reģionālajiem tirgiem, </w:t>
      </w:r>
      <w:r w:rsidRPr="00BA0F9E">
        <w:rPr>
          <w:shd w:val="clear" w:color="auto" w:fill="auto"/>
        </w:rPr>
        <w:t xml:space="preserve">ķīmijas </w:t>
      </w:r>
      <w:r>
        <w:t>nozare kopumā, kā arī farmācijas nozare un kosmētikas rūpniecība, Latvijā ir neliela, tomēr tā ir nozīmīga Latvijas ekonomikai. Līdīga situācija pastāv arī medicīnisko ierīču tirgū. Relatīvi nelielais uzņēmumu izmērs attiecībā pret lielākajiem nozares dalībniekiem nozīmē, ka Latvijas uzņēmumi galvenokārt ieņem šauras nišas. Turklāt relatīvi nelielais uzņēmumu izmērs ļauj Latvijas uzņēmumiem izvirzīt un realizēt pamatā tādas stratēģijas, kas neņem vērā aktivitāšu ievērojamu ietekmi uz nozīmīgāko tirgus dalībnieku lēmumiem. Visas trīs nozare</w:t>
      </w:r>
      <w:r w:rsidR="00F939B7">
        <w:t>s</w:t>
      </w:r>
      <w:r>
        <w:t xml:space="preserve"> ir ļoti koncentrētas, ar lielāko rādītāju famācijā, kur ap </w:t>
      </w:r>
      <w:r w:rsidRPr="00E12D50">
        <w:t>5 % no uzņēmumu skaita veido 96 % no nozares apgrozījuma</w:t>
      </w:r>
      <w:r>
        <w:t>.</w:t>
      </w:r>
    </w:p>
    <w:p w14:paraId="610B9856" w14:textId="0B7C7A98" w:rsidR="009543FF" w:rsidRDefault="009543FF" w:rsidP="009543FF">
      <w:pPr>
        <w:keepNext/>
        <w:keepLines w:val="0"/>
      </w:pPr>
      <w:r>
        <w:t>Tā kā F</w:t>
      </w:r>
      <w:r w:rsidR="00165B7F">
        <w:t>B</w:t>
      </w:r>
      <w:r>
        <w:t>M</w:t>
      </w:r>
      <w:r w:rsidR="00165B7F">
        <w:t>T</w:t>
      </w:r>
      <w:r>
        <w:t>KC komersanti darbojas kosmētikas, farmācijas un meicīnisko ierīču nozarēs</w:t>
      </w:r>
      <w:r w:rsidR="005B6239">
        <w:rPr>
          <w:rStyle w:val="FootnoteReference"/>
        </w:rPr>
        <w:footnoteReference w:id="23"/>
      </w:r>
      <w:r>
        <w:t>, turpmāk tiek apskatītas nozares pēc šādiem NACE kodiem:</w:t>
      </w:r>
    </w:p>
    <w:p w14:paraId="14DFF7C8" w14:textId="77777777" w:rsidR="009543FF" w:rsidRDefault="009543FF" w:rsidP="009543FF">
      <w:pPr>
        <w:pStyle w:val="BulletsF"/>
        <w:keepNext/>
      </w:pPr>
      <w:r>
        <w:t>Ziepju, mazgāšanas, tīrīšanas un spodrināšanas līdzekļu, smaržu un kosmētisko līdzekļu ražošana (20.4),</w:t>
      </w:r>
    </w:p>
    <w:tbl>
      <w:tblPr>
        <w:tblW w:w="15360" w:type="dxa"/>
        <w:tblCellMar>
          <w:left w:w="0" w:type="dxa"/>
          <w:right w:w="0" w:type="dxa"/>
        </w:tblCellMar>
        <w:tblLook w:val="04A0" w:firstRow="1" w:lastRow="0" w:firstColumn="1" w:lastColumn="0" w:noHBand="0" w:noVBand="1"/>
      </w:tblPr>
      <w:tblGrid>
        <w:gridCol w:w="15272"/>
        <w:gridCol w:w="88"/>
      </w:tblGrid>
      <w:tr w:rsidR="009543FF" w:rsidRPr="00FE6335" w14:paraId="5A8800FF" w14:textId="77777777" w:rsidTr="00C948F2">
        <w:trPr>
          <w:trHeight w:val="255"/>
        </w:trPr>
        <w:tc>
          <w:tcPr>
            <w:tcW w:w="0" w:type="auto"/>
            <w:noWrap/>
            <w:tcMar>
              <w:top w:w="15" w:type="dxa"/>
              <w:left w:w="15" w:type="dxa"/>
              <w:bottom w:w="0" w:type="dxa"/>
              <w:right w:w="15" w:type="dxa"/>
            </w:tcMar>
            <w:vAlign w:val="bottom"/>
            <w:hideMark/>
          </w:tcPr>
          <w:p w14:paraId="6F3173A4" w14:textId="77777777" w:rsidR="009543FF" w:rsidRDefault="009543FF" w:rsidP="00077176">
            <w:pPr>
              <w:pStyle w:val="BulletsF"/>
              <w:keepNext/>
              <w:rPr>
                <w:rFonts w:eastAsia="Times New Roman"/>
              </w:rPr>
            </w:pPr>
            <w:r w:rsidRPr="00FE6335">
              <w:rPr>
                <w:rFonts w:eastAsia="Times New Roman"/>
              </w:rPr>
              <w:t>Farmaceitisko pamatvielu un farmaceitisko preparātu ražošana</w:t>
            </w:r>
            <w:r>
              <w:rPr>
                <w:rFonts w:eastAsia="Times New Roman"/>
              </w:rPr>
              <w:t xml:space="preserve"> (21)</w:t>
            </w:r>
          </w:p>
          <w:p w14:paraId="572E5F6D" w14:textId="77777777" w:rsidR="009543FF" w:rsidRPr="00FE6335" w:rsidRDefault="009543FF" w:rsidP="00077176">
            <w:pPr>
              <w:pStyle w:val="2LBulletsF"/>
              <w:keepNext/>
              <w:rPr>
                <w:rFonts w:eastAsia="Times New Roman"/>
              </w:rPr>
            </w:pPr>
            <w:r>
              <w:t>Farmaceitisko pamatvielu ražošana (21.1)</w:t>
            </w:r>
          </w:p>
        </w:tc>
        <w:tc>
          <w:tcPr>
            <w:tcW w:w="0" w:type="auto"/>
            <w:noWrap/>
            <w:tcMar>
              <w:top w:w="15" w:type="dxa"/>
              <w:left w:w="15" w:type="dxa"/>
              <w:bottom w:w="0" w:type="dxa"/>
              <w:right w:w="15" w:type="dxa"/>
            </w:tcMar>
            <w:vAlign w:val="bottom"/>
            <w:hideMark/>
          </w:tcPr>
          <w:p w14:paraId="290FB463" w14:textId="77777777" w:rsidR="009543FF" w:rsidRPr="00FE6335" w:rsidRDefault="009543FF" w:rsidP="00077176">
            <w:pPr>
              <w:pStyle w:val="2LBulletsF"/>
              <w:keepNext/>
              <w:rPr>
                <w:rFonts w:eastAsia="Times New Roman"/>
              </w:rPr>
            </w:pPr>
          </w:p>
        </w:tc>
      </w:tr>
    </w:tbl>
    <w:p w14:paraId="2E9B17F8" w14:textId="77777777" w:rsidR="009543FF" w:rsidRDefault="009543FF" w:rsidP="009543FF">
      <w:pPr>
        <w:pStyle w:val="2LBulletsF"/>
      </w:pPr>
      <w:r>
        <w:t>Farmaceitisko preparātu ražošana (21.2),</w:t>
      </w:r>
    </w:p>
    <w:p w14:paraId="0EF35D10" w14:textId="77777777" w:rsidR="009543FF" w:rsidRPr="00FA61E6" w:rsidRDefault="009543FF" w:rsidP="009543FF">
      <w:pPr>
        <w:pStyle w:val="BulletsF"/>
      </w:pPr>
      <w:r>
        <w:t>Medicīnas un zobārstniecības instrumentu un piederumu ražošana (32.5).</w:t>
      </w:r>
      <w:r>
        <w:rPr>
          <w:rStyle w:val="FootnoteReference"/>
        </w:rPr>
        <w:footnoteReference w:id="24"/>
      </w:r>
    </w:p>
    <w:p w14:paraId="2945EBBB" w14:textId="61F008C0" w:rsidR="009543FF" w:rsidRPr="001D2900" w:rsidRDefault="009543FF" w:rsidP="009543FF">
      <w:pPr>
        <w:pStyle w:val="Caption"/>
        <w:rPr>
          <w:color w:val="auto"/>
          <w:sz w:val="20"/>
          <w:szCs w:val="20"/>
        </w:rPr>
      </w:pPr>
      <w:r>
        <w:lastRenderedPageBreak/>
        <w:t xml:space="preserve">Tabula </w:t>
      </w:r>
      <w:r w:rsidR="009B704C">
        <w:rPr>
          <w:noProof/>
        </w:rPr>
        <w:fldChar w:fldCharType="begin"/>
      </w:r>
      <w:r w:rsidR="009B704C">
        <w:rPr>
          <w:noProof/>
        </w:rPr>
        <w:instrText xml:space="preserve"> SEQ Tabula \* ARABIC </w:instrText>
      </w:r>
      <w:r w:rsidR="009B704C">
        <w:rPr>
          <w:noProof/>
        </w:rPr>
        <w:fldChar w:fldCharType="separate"/>
      </w:r>
      <w:r w:rsidR="0066799B">
        <w:rPr>
          <w:noProof/>
        </w:rPr>
        <w:t>1</w:t>
      </w:r>
      <w:r w:rsidR="009B704C">
        <w:rPr>
          <w:noProof/>
        </w:rPr>
        <w:fldChar w:fldCharType="end"/>
      </w:r>
      <w:r>
        <w:t>. Ķīmijas nozares apmēri Latvijā pret Eiropas tirgu. Avots EUROSTAT un CSP.</w:t>
      </w:r>
    </w:p>
    <w:tbl>
      <w:tblPr>
        <w:tblStyle w:val="PlainTable510"/>
        <w:tblW w:w="8532" w:type="dxa"/>
        <w:tblLayout w:type="fixed"/>
        <w:tblLook w:val="04A0" w:firstRow="1" w:lastRow="0" w:firstColumn="1" w:lastColumn="0" w:noHBand="0" w:noVBand="1"/>
      </w:tblPr>
      <w:tblGrid>
        <w:gridCol w:w="2997"/>
        <w:gridCol w:w="967"/>
        <w:gridCol w:w="1848"/>
        <w:gridCol w:w="1360"/>
        <w:gridCol w:w="1360"/>
      </w:tblGrid>
      <w:tr w:rsidR="009543FF" w:rsidRPr="006F49D6" w14:paraId="1B772524" w14:textId="77777777" w:rsidTr="00C948F2">
        <w:trPr>
          <w:cnfStyle w:val="100000000000" w:firstRow="1" w:lastRow="0" w:firstColumn="0" w:lastColumn="0" w:oddVBand="0" w:evenVBand="0" w:oddHBand="0" w:evenHBand="0" w:firstRowFirstColumn="0" w:firstRowLastColumn="0" w:lastRowFirstColumn="0" w:lastRowLastColumn="0"/>
          <w:trHeight w:val="895"/>
        </w:trPr>
        <w:tc>
          <w:tcPr>
            <w:cnfStyle w:val="001000000100" w:firstRow="0" w:lastRow="0" w:firstColumn="1" w:lastColumn="0" w:oddVBand="0" w:evenVBand="0" w:oddHBand="0" w:evenHBand="0" w:firstRowFirstColumn="1" w:firstRowLastColumn="0" w:lastRowFirstColumn="0" w:lastRowLastColumn="0"/>
            <w:tcW w:w="2997" w:type="dxa"/>
            <w:noWrap/>
            <w:hideMark/>
          </w:tcPr>
          <w:p w14:paraId="7A713242" w14:textId="77777777" w:rsidR="009543FF" w:rsidRPr="006F49D6" w:rsidRDefault="009543FF" w:rsidP="00077176">
            <w:pPr>
              <w:spacing w:after="0"/>
              <w:jc w:val="center"/>
            </w:pPr>
            <w:r w:rsidRPr="006F49D6">
              <w:t>Attiecība % (Latvija/Eiropa)</w:t>
            </w:r>
          </w:p>
        </w:tc>
        <w:tc>
          <w:tcPr>
            <w:tcW w:w="967" w:type="dxa"/>
            <w:noWrap/>
            <w:hideMark/>
          </w:tcPr>
          <w:p w14:paraId="63A1F932" w14:textId="77777777" w:rsidR="009543FF" w:rsidRPr="00712EC0" w:rsidRDefault="009543FF" w:rsidP="00077176">
            <w:pPr>
              <w:spacing w:after="0"/>
              <w:jc w:val="center"/>
              <w:cnfStyle w:val="100000000000" w:firstRow="1" w:lastRow="0" w:firstColumn="0" w:lastColumn="0" w:oddVBand="0" w:evenVBand="0" w:oddHBand="0" w:evenHBand="0" w:firstRowFirstColumn="0" w:firstRowLastColumn="0" w:lastRowFirstColumn="0" w:lastRowLastColumn="0"/>
            </w:pPr>
            <w:r w:rsidRPr="00712EC0">
              <w:t>Ķīmija</w:t>
            </w:r>
            <w:r>
              <w:t>s nozare</w:t>
            </w:r>
          </w:p>
        </w:tc>
        <w:tc>
          <w:tcPr>
            <w:tcW w:w="1848" w:type="dxa"/>
            <w:noWrap/>
            <w:hideMark/>
          </w:tcPr>
          <w:p w14:paraId="57E1F0AB" w14:textId="77777777" w:rsidR="009543FF" w:rsidRPr="00712EC0" w:rsidRDefault="009543FF" w:rsidP="00077176">
            <w:pPr>
              <w:spacing w:after="0"/>
              <w:jc w:val="center"/>
              <w:cnfStyle w:val="100000000000" w:firstRow="1" w:lastRow="0" w:firstColumn="0" w:lastColumn="0" w:oddVBand="0" w:evenVBand="0" w:oddHBand="0" w:evenHBand="0" w:firstRowFirstColumn="0" w:firstRowLastColumn="0" w:lastRowFirstColumn="0" w:lastRowLastColumn="0"/>
            </w:pPr>
            <w:r w:rsidRPr="00712EC0">
              <w:t>Tīrīšanas līdzekļi, kosmētika un smaržas</w:t>
            </w:r>
          </w:p>
        </w:tc>
        <w:tc>
          <w:tcPr>
            <w:tcW w:w="1360" w:type="dxa"/>
          </w:tcPr>
          <w:p w14:paraId="11DAB37B" w14:textId="77777777" w:rsidR="009543FF" w:rsidRPr="00712EC0" w:rsidRDefault="009543FF" w:rsidP="00077176">
            <w:pPr>
              <w:spacing w:after="0"/>
              <w:jc w:val="center"/>
              <w:cnfStyle w:val="100000000000" w:firstRow="1" w:lastRow="0" w:firstColumn="0" w:lastColumn="0" w:oddVBand="0" w:evenVBand="0" w:oddHBand="0" w:evenHBand="0" w:firstRowFirstColumn="0" w:firstRowLastColumn="0" w:lastRowFirstColumn="0" w:lastRowLastColumn="0"/>
            </w:pPr>
            <w:r w:rsidRPr="00712EC0">
              <w:t>Farmācija</w:t>
            </w:r>
          </w:p>
        </w:tc>
        <w:tc>
          <w:tcPr>
            <w:tcW w:w="1360" w:type="dxa"/>
            <w:noWrap/>
            <w:hideMark/>
          </w:tcPr>
          <w:p w14:paraId="0E24239E" w14:textId="77777777" w:rsidR="009543FF" w:rsidRPr="00712EC0" w:rsidRDefault="009543FF" w:rsidP="00077176">
            <w:pPr>
              <w:spacing w:after="0"/>
              <w:jc w:val="center"/>
              <w:cnfStyle w:val="100000000000" w:firstRow="1" w:lastRow="0" w:firstColumn="0" w:lastColumn="0" w:oddVBand="0" w:evenVBand="0" w:oddHBand="0" w:evenHBand="0" w:firstRowFirstColumn="0" w:firstRowLastColumn="0" w:lastRowFirstColumn="0" w:lastRowLastColumn="0"/>
            </w:pPr>
            <w:r w:rsidRPr="00712EC0">
              <w:t>Medicīniskās ierīces</w:t>
            </w:r>
          </w:p>
        </w:tc>
      </w:tr>
      <w:tr w:rsidR="009543FF" w:rsidRPr="006F49D6" w14:paraId="1E933889" w14:textId="77777777" w:rsidTr="00C948F2">
        <w:trPr>
          <w:cnfStyle w:val="000000100000" w:firstRow="0" w:lastRow="0" w:firstColumn="0" w:lastColumn="0" w:oddVBand="0" w:evenVBand="0" w:oddHBand="1" w:evenHBand="0" w:firstRowFirstColumn="0" w:firstRowLastColumn="0" w:lastRowFirstColumn="0" w:lastRowLastColumn="0"/>
          <w:trHeight w:val="319"/>
        </w:trPr>
        <w:tc>
          <w:tcPr>
            <w:cnfStyle w:val="001000000000" w:firstRow="0" w:lastRow="0" w:firstColumn="1" w:lastColumn="0" w:oddVBand="0" w:evenVBand="0" w:oddHBand="0" w:evenHBand="0" w:firstRowFirstColumn="0" w:firstRowLastColumn="0" w:lastRowFirstColumn="0" w:lastRowLastColumn="0"/>
            <w:tcW w:w="2997" w:type="dxa"/>
            <w:noWrap/>
            <w:hideMark/>
          </w:tcPr>
          <w:p w14:paraId="44D88728" w14:textId="77777777" w:rsidR="009543FF" w:rsidRPr="006F49D6" w:rsidRDefault="009543FF" w:rsidP="00077176">
            <w:pPr>
              <w:spacing w:after="0"/>
              <w:jc w:val="center"/>
            </w:pPr>
            <w:r w:rsidRPr="006F49D6">
              <w:t>Kompāniju skaits</w:t>
            </w:r>
          </w:p>
        </w:tc>
        <w:tc>
          <w:tcPr>
            <w:tcW w:w="967" w:type="dxa"/>
            <w:shd w:val="clear" w:color="auto" w:fill="auto"/>
            <w:noWrap/>
            <w:hideMark/>
          </w:tcPr>
          <w:p w14:paraId="41C5E265" w14:textId="77777777" w:rsidR="009543FF" w:rsidRPr="00712EC0" w:rsidRDefault="009543FF" w:rsidP="00077176">
            <w:pPr>
              <w:spacing w:after="0"/>
              <w:jc w:val="center"/>
              <w:cnfStyle w:val="000000100000" w:firstRow="0" w:lastRow="0" w:firstColumn="0" w:lastColumn="0" w:oddVBand="0" w:evenVBand="0" w:oddHBand="1" w:evenHBand="0" w:firstRowFirstColumn="0" w:firstRowLastColumn="0" w:lastRowFirstColumn="0" w:lastRowLastColumn="0"/>
            </w:pPr>
            <w:r w:rsidRPr="00712EC0">
              <w:t>0,640 %</w:t>
            </w:r>
          </w:p>
        </w:tc>
        <w:tc>
          <w:tcPr>
            <w:tcW w:w="1848" w:type="dxa"/>
            <w:shd w:val="clear" w:color="auto" w:fill="auto"/>
            <w:noWrap/>
            <w:hideMark/>
          </w:tcPr>
          <w:p w14:paraId="5F8B26DD" w14:textId="77777777" w:rsidR="009543FF" w:rsidRPr="00712EC0" w:rsidRDefault="009543FF" w:rsidP="00077176">
            <w:pPr>
              <w:spacing w:after="0"/>
              <w:jc w:val="center"/>
              <w:cnfStyle w:val="000000100000" w:firstRow="0" w:lastRow="0" w:firstColumn="0" w:lastColumn="0" w:oddVBand="0" w:evenVBand="0" w:oddHBand="1" w:evenHBand="0" w:firstRowFirstColumn="0" w:firstRowLastColumn="0" w:lastRowFirstColumn="0" w:lastRowLastColumn="0"/>
            </w:pPr>
            <w:r w:rsidRPr="00712EC0">
              <w:t>0,810 %</w:t>
            </w:r>
          </w:p>
        </w:tc>
        <w:tc>
          <w:tcPr>
            <w:tcW w:w="1360" w:type="dxa"/>
            <w:shd w:val="clear" w:color="auto" w:fill="auto"/>
          </w:tcPr>
          <w:p w14:paraId="785ED4E2" w14:textId="77777777" w:rsidR="009543FF" w:rsidRPr="00712EC0" w:rsidRDefault="009543FF" w:rsidP="00077176">
            <w:pPr>
              <w:spacing w:after="0"/>
              <w:jc w:val="center"/>
              <w:cnfStyle w:val="000000100000" w:firstRow="0" w:lastRow="0" w:firstColumn="0" w:lastColumn="0" w:oddVBand="0" w:evenVBand="0" w:oddHBand="1" w:evenHBand="0" w:firstRowFirstColumn="0" w:firstRowLastColumn="0" w:lastRowFirstColumn="0" w:lastRowLastColumn="0"/>
            </w:pPr>
            <w:r w:rsidRPr="00712EC0">
              <w:t>0,707 %</w:t>
            </w:r>
          </w:p>
        </w:tc>
        <w:tc>
          <w:tcPr>
            <w:tcW w:w="1360" w:type="dxa"/>
            <w:shd w:val="clear" w:color="auto" w:fill="auto"/>
            <w:noWrap/>
            <w:hideMark/>
          </w:tcPr>
          <w:p w14:paraId="6919D1D1" w14:textId="77777777" w:rsidR="009543FF" w:rsidRPr="00712EC0" w:rsidRDefault="009543FF" w:rsidP="00077176">
            <w:pPr>
              <w:spacing w:after="0"/>
              <w:jc w:val="center"/>
              <w:cnfStyle w:val="000000100000" w:firstRow="0" w:lastRow="0" w:firstColumn="0" w:lastColumn="0" w:oddVBand="0" w:evenVBand="0" w:oddHBand="1" w:evenHBand="0" w:firstRowFirstColumn="0" w:firstRowLastColumn="0" w:lastRowFirstColumn="0" w:lastRowLastColumn="0"/>
            </w:pPr>
            <w:r w:rsidRPr="00712EC0">
              <w:t>0,129 %</w:t>
            </w:r>
          </w:p>
        </w:tc>
      </w:tr>
      <w:tr w:rsidR="009543FF" w:rsidRPr="006F49D6" w14:paraId="1481F4E1" w14:textId="77777777" w:rsidTr="00C948F2">
        <w:trPr>
          <w:trHeight w:val="319"/>
        </w:trPr>
        <w:tc>
          <w:tcPr>
            <w:cnfStyle w:val="001000000000" w:firstRow="0" w:lastRow="0" w:firstColumn="1" w:lastColumn="0" w:oddVBand="0" w:evenVBand="0" w:oddHBand="0" w:evenHBand="0" w:firstRowFirstColumn="0" w:firstRowLastColumn="0" w:lastRowFirstColumn="0" w:lastRowLastColumn="0"/>
            <w:tcW w:w="2997" w:type="dxa"/>
            <w:noWrap/>
            <w:hideMark/>
          </w:tcPr>
          <w:p w14:paraId="10ECB20B" w14:textId="77777777" w:rsidR="009543FF" w:rsidRPr="006F49D6" w:rsidRDefault="009543FF" w:rsidP="00077176">
            <w:pPr>
              <w:spacing w:after="0"/>
              <w:jc w:val="center"/>
            </w:pPr>
            <w:r>
              <w:t>D</w:t>
            </w:r>
            <w:r w:rsidRPr="006F49D6">
              <w:t>arbinieku skaits</w:t>
            </w:r>
          </w:p>
        </w:tc>
        <w:tc>
          <w:tcPr>
            <w:tcW w:w="967" w:type="dxa"/>
            <w:shd w:val="clear" w:color="auto" w:fill="auto"/>
            <w:noWrap/>
            <w:hideMark/>
          </w:tcPr>
          <w:p w14:paraId="63771467" w14:textId="77777777" w:rsidR="009543FF" w:rsidRPr="00712EC0" w:rsidRDefault="009543FF" w:rsidP="00077176">
            <w:pPr>
              <w:spacing w:after="0"/>
              <w:jc w:val="center"/>
              <w:cnfStyle w:val="000000000000" w:firstRow="0" w:lastRow="0" w:firstColumn="0" w:lastColumn="0" w:oddVBand="0" w:evenVBand="0" w:oddHBand="0" w:evenHBand="0" w:firstRowFirstColumn="0" w:firstRowLastColumn="0" w:lastRowFirstColumn="0" w:lastRowLastColumn="0"/>
            </w:pPr>
            <w:r w:rsidRPr="00712EC0">
              <w:t>0,227 %</w:t>
            </w:r>
          </w:p>
        </w:tc>
        <w:tc>
          <w:tcPr>
            <w:tcW w:w="1848" w:type="dxa"/>
            <w:shd w:val="clear" w:color="auto" w:fill="auto"/>
            <w:noWrap/>
            <w:hideMark/>
          </w:tcPr>
          <w:p w14:paraId="6A56AD66" w14:textId="77777777" w:rsidR="009543FF" w:rsidRPr="00712EC0" w:rsidRDefault="009543FF" w:rsidP="00077176">
            <w:pPr>
              <w:spacing w:after="0"/>
              <w:jc w:val="center"/>
              <w:cnfStyle w:val="000000000000" w:firstRow="0" w:lastRow="0" w:firstColumn="0" w:lastColumn="0" w:oddVBand="0" w:evenVBand="0" w:oddHBand="0" w:evenHBand="0" w:firstRowFirstColumn="0" w:firstRowLastColumn="0" w:lastRowFirstColumn="0" w:lastRowLastColumn="0"/>
            </w:pPr>
            <w:r w:rsidRPr="00712EC0">
              <w:t>0,483 %</w:t>
            </w:r>
          </w:p>
        </w:tc>
        <w:tc>
          <w:tcPr>
            <w:tcW w:w="1360" w:type="dxa"/>
            <w:shd w:val="clear" w:color="auto" w:fill="auto"/>
          </w:tcPr>
          <w:p w14:paraId="1A47172C" w14:textId="77777777" w:rsidR="009543FF" w:rsidRPr="00712EC0" w:rsidRDefault="009543FF" w:rsidP="00077176">
            <w:pPr>
              <w:spacing w:after="0"/>
              <w:jc w:val="center"/>
              <w:cnfStyle w:val="000000000000" w:firstRow="0" w:lastRow="0" w:firstColumn="0" w:lastColumn="0" w:oddVBand="0" w:evenVBand="0" w:oddHBand="0" w:evenHBand="0" w:firstRowFirstColumn="0" w:firstRowLastColumn="0" w:lastRowFirstColumn="0" w:lastRowLastColumn="0"/>
            </w:pPr>
            <w:r w:rsidRPr="00712EC0">
              <w:t>0,368 %</w:t>
            </w:r>
          </w:p>
        </w:tc>
        <w:tc>
          <w:tcPr>
            <w:tcW w:w="1360" w:type="dxa"/>
            <w:shd w:val="clear" w:color="auto" w:fill="auto"/>
            <w:noWrap/>
            <w:hideMark/>
          </w:tcPr>
          <w:p w14:paraId="3450A2CA" w14:textId="77777777" w:rsidR="009543FF" w:rsidRPr="00712EC0" w:rsidRDefault="009543FF" w:rsidP="00077176">
            <w:pPr>
              <w:spacing w:after="0"/>
              <w:jc w:val="center"/>
              <w:cnfStyle w:val="000000000000" w:firstRow="0" w:lastRow="0" w:firstColumn="0" w:lastColumn="0" w:oddVBand="0" w:evenVBand="0" w:oddHBand="0" w:evenHBand="0" w:firstRowFirstColumn="0" w:firstRowLastColumn="0" w:lastRowFirstColumn="0" w:lastRowLastColumn="0"/>
            </w:pPr>
            <w:r w:rsidRPr="00712EC0">
              <w:t>0,129 %</w:t>
            </w:r>
          </w:p>
        </w:tc>
      </w:tr>
      <w:tr w:rsidR="009543FF" w:rsidRPr="006F49D6" w14:paraId="2778F9A3" w14:textId="77777777" w:rsidTr="00C948F2">
        <w:trPr>
          <w:cnfStyle w:val="000000100000" w:firstRow="0" w:lastRow="0" w:firstColumn="0" w:lastColumn="0" w:oddVBand="0" w:evenVBand="0" w:oddHBand="1" w:evenHBand="0" w:firstRowFirstColumn="0" w:firstRowLastColumn="0" w:lastRowFirstColumn="0" w:lastRowLastColumn="0"/>
          <w:trHeight w:val="319"/>
        </w:trPr>
        <w:tc>
          <w:tcPr>
            <w:cnfStyle w:val="001000000000" w:firstRow="0" w:lastRow="0" w:firstColumn="1" w:lastColumn="0" w:oddVBand="0" w:evenVBand="0" w:oddHBand="0" w:evenHBand="0" w:firstRowFirstColumn="0" w:firstRowLastColumn="0" w:lastRowFirstColumn="0" w:lastRowLastColumn="0"/>
            <w:tcW w:w="2997" w:type="dxa"/>
            <w:noWrap/>
          </w:tcPr>
          <w:p w14:paraId="589C18E1" w14:textId="77777777" w:rsidR="009543FF" w:rsidRDefault="009543FF" w:rsidP="00077176">
            <w:pPr>
              <w:spacing w:after="0"/>
              <w:jc w:val="center"/>
            </w:pPr>
            <w:r>
              <w:t>Apgrozījums</w:t>
            </w:r>
          </w:p>
        </w:tc>
        <w:tc>
          <w:tcPr>
            <w:tcW w:w="967" w:type="dxa"/>
            <w:shd w:val="clear" w:color="auto" w:fill="auto"/>
            <w:noWrap/>
          </w:tcPr>
          <w:p w14:paraId="777351F7" w14:textId="77777777" w:rsidR="009543FF" w:rsidRPr="00712EC0" w:rsidRDefault="009543FF" w:rsidP="00077176">
            <w:pPr>
              <w:spacing w:after="0"/>
              <w:jc w:val="center"/>
              <w:cnfStyle w:val="000000100000" w:firstRow="0" w:lastRow="0" w:firstColumn="0" w:lastColumn="0" w:oddVBand="0" w:evenVBand="0" w:oddHBand="1" w:evenHBand="0" w:firstRowFirstColumn="0" w:firstRowLastColumn="0" w:lastRowFirstColumn="0" w:lastRowLastColumn="0"/>
            </w:pPr>
            <w:r w:rsidRPr="00712EC0">
              <w:t>0.083%</w:t>
            </w:r>
          </w:p>
        </w:tc>
        <w:tc>
          <w:tcPr>
            <w:tcW w:w="1848" w:type="dxa"/>
            <w:shd w:val="clear" w:color="auto" w:fill="auto"/>
            <w:noWrap/>
          </w:tcPr>
          <w:p w14:paraId="1E1C75F5" w14:textId="77777777" w:rsidR="009543FF" w:rsidRPr="00712EC0" w:rsidRDefault="009543FF" w:rsidP="00077176">
            <w:pPr>
              <w:spacing w:after="0"/>
              <w:jc w:val="center"/>
              <w:cnfStyle w:val="000000100000" w:firstRow="0" w:lastRow="0" w:firstColumn="0" w:lastColumn="0" w:oddVBand="0" w:evenVBand="0" w:oddHBand="1" w:evenHBand="0" w:firstRowFirstColumn="0" w:firstRowLastColumn="0" w:lastRowFirstColumn="0" w:lastRowLastColumn="0"/>
            </w:pPr>
            <w:r w:rsidRPr="00712EC0">
              <w:t>0,050%</w:t>
            </w:r>
          </w:p>
        </w:tc>
        <w:tc>
          <w:tcPr>
            <w:tcW w:w="1360" w:type="dxa"/>
            <w:shd w:val="clear" w:color="auto" w:fill="auto"/>
          </w:tcPr>
          <w:p w14:paraId="44E5E9FB" w14:textId="77777777" w:rsidR="009543FF" w:rsidRPr="00712EC0" w:rsidRDefault="009543FF" w:rsidP="00077176">
            <w:pPr>
              <w:spacing w:after="0"/>
              <w:jc w:val="center"/>
              <w:cnfStyle w:val="000000100000" w:firstRow="0" w:lastRow="0" w:firstColumn="0" w:lastColumn="0" w:oddVBand="0" w:evenVBand="0" w:oddHBand="1" w:evenHBand="0" w:firstRowFirstColumn="0" w:firstRowLastColumn="0" w:lastRowFirstColumn="0" w:lastRowLastColumn="0"/>
            </w:pPr>
            <w:r w:rsidRPr="00712EC0">
              <w:t>0,068%</w:t>
            </w:r>
          </w:p>
        </w:tc>
        <w:tc>
          <w:tcPr>
            <w:tcW w:w="1360" w:type="dxa"/>
            <w:shd w:val="clear" w:color="auto" w:fill="auto"/>
            <w:noWrap/>
          </w:tcPr>
          <w:p w14:paraId="434E21F1" w14:textId="77777777" w:rsidR="009543FF" w:rsidRPr="00712EC0" w:rsidRDefault="009543FF" w:rsidP="00077176">
            <w:pPr>
              <w:spacing w:after="0"/>
              <w:jc w:val="center"/>
              <w:cnfStyle w:val="000000100000" w:firstRow="0" w:lastRow="0" w:firstColumn="0" w:lastColumn="0" w:oddVBand="0" w:evenVBand="0" w:oddHBand="1" w:evenHBand="0" w:firstRowFirstColumn="0" w:firstRowLastColumn="0" w:lastRowFirstColumn="0" w:lastRowLastColumn="0"/>
            </w:pPr>
            <w:r w:rsidRPr="00712EC0">
              <w:t>0,028%</w:t>
            </w:r>
          </w:p>
        </w:tc>
      </w:tr>
    </w:tbl>
    <w:p w14:paraId="670DA8F2" w14:textId="77777777" w:rsidR="009543FF" w:rsidRPr="00503F58" w:rsidRDefault="009543FF" w:rsidP="009543FF">
      <w:r>
        <w:t xml:space="preserve">Ķīmija ir nozīmīga Latvijas tautsaimniecības nozare. Ķīmijas apgrozījums 2014. gadā sasniedza EUR 1,1 miljardus un eksporta apjomu </w:t>
      </w:r>
      <w:r w:rsidRPr="008255B0">
        <w:rPr>
          <w:shd w:val="clear" w:color="auto" w:fill="auto"/>
        </w:rPr>
        <w:t>EUR </w:t>
      </w:r>
      <w:r>
        <w:rPr>
          <w:shd w:val="clear" w:color="auto" w:fill="auto"/>
        </w:rPr>
        <w:t>668</w:t>
      </w:r>
      <w:r w:rsidRPr="008255B0">
        <w:rPr>
          <w:shd w:val="clear" w:color="auto" w:fill="auto"/>
        </w:rPr>
        <w:t xml:space="preserve"> miljoni, kas veido </w:t>
      </w:r>
      <w:r>
        <w:rPr>
          <w:shd w:val="clear" w:color="auto" w:fill="auto"/>
        </w:rPr>
        <w:t>6,5</w:t>
      </w:r>
      <w:r w:rsidRPr="008255B0">
        <w:rPr>
          <w:shd w:val="clear" w:color="auto" w:fill="auto"/>
        </w:rPr>
        <w:t> %</w:t>
      </w:r>
      <w:r>
        <w:t xml:space="preserve"> no kopējā eksporta, nedaudz atpaliekot no metālapstrādes un kokapstrādes nozarēm. </w:t>
      </w:r>
      <w:r w:rsidRPr="002632DF">
        <w:t>Ņemot vērā</w:t>
      </w:r>
      <w:r>
        <w:t xml:space="preserve"> to</w:t>
      </w:r>
      <w:r w:rsidRPr="002632DF">
        <w:t>, ka ķīmijas nozare prasa ļoti lielus kapitālieguldījumus, tai ir ļoti liel</w:t>
      </w:r>
      <w:r>
        <w:t>i</w:t>
      </w:r>
      <w:r w:rsidRPr="002632DF">
        <w:t xml:space="preserve"> </w:t>
      </w:r>
      <w:r w:rsidRPr="008D7D83">
        <w:t>šķēršļi iekļūšanai tirgū.</w:t>
      </w:r>
      <w:r w:rsidRPr="002632DF">
        <w:t xml:space="preserve"> Papildus tam Latvijas uzņēmumi</w:t>
      </w:r>
      <w:r>
        <w:t>em, salīdzinot</w:t>
      </w:r>
      <w:r w:rsidRPr="002632DF">
        <w:t xml:space="preserve"> </w:t>
      </w:r>
      <w:r>
        <w:t>ar</w:t>
      </w:r>
      <w:r w:rsidRPr="002632DF">
        <w:t xml:space="preserve"> pasaules mērog</w:t>
      </w:r>
      <w:r>
        <w:t>u,</w:t>
      </w:r>
      <w:r w:rsidRPr="002632DF">
        <w:t xml:space="preserve"> ir relatīvi neliel</w:t>
      </w:r>
      <w:r>
        <w:t>s</w:t>
      </w:r>
      <w:r w:rsidRPr="002632DF">
        <w:t xml:space="preserve"> kapitāl</w:t>
      </w:r>
      <w:r>
        <w:t>s</w:t>
      </w:r>
      <w:r w:rsidRPr="002632DF">
        <w:t xml:space="preserve"> un apgrozījum</w:t>
      </w:r>
      <w:r>
        <w:t>s</w:t>
      </w:r>
      <w:r w:rsidRPr="002632DF">
        <w:t>, kā rezultātā Latvijas uzņēmumiem nākas ieņemt ļoti šaurus nišu tirgus.</w:t>
      </w:r>
    </w:p>
    <w:p w14:paraId="121737BD" w14:textId="6E58EBCA" w:rsidR="009543FF" w:rsidRDefault="009543FF" w:rsidP="009543FF">
      <w:r>
        <w:t xml:space="preserve">Farmācijas un kosmētikas nozares apgrozījums veidoja gandrīz piektdaļu no ķīmijas nozares jeb 202 milj. </w:t>
      </w:r>
      <w:r w:rsidR="00755276">
        <w:t>EUR</w:t>
      </w:r>
      <w:r>
        <w:t xml:space="preserve"> 2014. gadā, no kuriem 166 milj. eiro sastādīja farmācijas nozarē un 35 milj. </w:t>
      </w:r>
      <w:r w:rsidR="00755276">
        <w:t>EUR</w:t>
      </w:r>
      <w:r>
        <w:t xml:space="preserve"> – kosmētikā. Savukārt medicīnas ierīču apgrozījums bija divreiz mazāks nekā kosmētikas nozarē – 18 milj. </w:t>
      </w:r>
      <w:r w:rsidR="00755276">
        <w:t>EUR</w:t>
      </w:r>
      <w:r>
        <w:t xml:space="preserve"> Šo nozaru eksports veidoja 215 milj. eiro jeb trešdaļu no ķīmijas nozares (30% no ķīmijas nozares veidoja farmācijas eksports).</w:t>
      </w:r>
    </w:p>
    <w:p w14:paraId="1FC20FC0" w14:textId="77777777" w:rsidR="009543FF" w:rsidRDefault="009543FF" w:rsidP="009543FF">
      <w:r>
        <w:t xml:space="preserve">Farmācijas nozarē 40% veido farmaceitisko pamatvielu, </w:t>
      </w:r>
      <w:r w:rsidRPr="00B758A2">
        <w:t>kuras to farmakoloģisko īpašību dēļ izmantojama zāļu ražošanā, un  </w:t>
      </w:r>
      <w:r>
        <w:t xml:space="preserve"> farmaceitisko preparātu ražošana – gandrīz 60%. Kosmētikas nozarē savukārt ir viena no ķīmijas vielu ražošanas apakšnozarēm, kas galvenokārt veido kosmētikas un smaržu rūpniecību</w:t>
      </w:r>
      <w:r>
        <w:rPr>
          <w:rStyle w:val="FootnoteReference"/>
        </w:rPr>
        <w:footnoteReference w:id="25"/>
      </w:r>
      <w:r>
        <w:t xml:space="preserve"> (aptuveni 70% no 20.4 NACE grupas pēc apgrozījuma), kā arī tīrīšanas līdzekļus</w:t>
      </w:r>
      <w:r>
        <w:rPr>
          <w:rStyle w:val="FootnoteReference"/>
        </w:rPr>
        <w:footnoteReference w:id="26"/>
      </w:r>
      <w:r>
        <w:t>, piemēram, ziepes (attiecīgi ap 30% no 20.4 grupas).</w:t>
      </w:r>
    </w:p>
    <w:p w14:paraId="72E2F42A" w14:textId="77777777" w:rsidR="009543FF" w:rsidRDefault="009543FF" w:rsidP="009543FF">
      <w:r>
        <w:t>Medicīnas ierīču ražošana atbilst medicīnas un zobārstniecības instrumentu un piederumu ražošanas NACE kodam (32.5), kur lielāko daļu tomēr sastāda tieši zobārstniecības produkti. Apskatot to apgrozījumu, veidojas kopējais skats uz tendencēm visā medicīnisko ierīču nozarē, tomēr par nozari var daudz spriest arī pēc farmācijas sektora tendencēm.</w:t>
      </w:r>
    </w:p>
    <w:p w14:paraId="5D743AAF" w14:textId="23B0C9CB" w:rsidR="009543FF" w:rsidRDefault="009543FF" w:rsidP="009543FF">
      <w:r>
        <w:t>Latvijas uzņēmumi ir nelieli, ļoti specializēti nišu dalībnieki un industrijas turpmāka specializācija kopumā var notikt tikai organiski gadījumā, ja P&amp;A&amp;I jomā tiek nodrošināti izcilas kvalitātes cilvēkresursi un inovāciju attīstības faktori.</w:t>
      </w:r>
    </w:p>
    <w:p w14:paraId="343C16E1" w14:textId="77777777" w:rsidR="00042BF6" w:rsidRPr="00042BF6" w:rsidRDefault="00042BF6" w:rsidP="006F31C1">
      <w:pPr>
        <w:pStyle w:val="Heading3"/>
        <w:numPr>
          <w:ilvl w:val="2"/>
          <w:numId w:val="10"/>
        </w:numPr>
        <w:rPr>
          <w:rStyle w:val="Heading3Char"/>
        </w:rPr>
      </w:pPr>
      <w:bookmarkStart w:id="19" w:name="_Toc400456898"/>
      <w:bookmarkStart w:id="20" w:name="_Toc400468726"/>
      <w:bookmarkStart w:id="21" w:name="_Toc400470543"/>
      <w:bookmarkStart w:id="22" w:name="_Toc400470931"/>
      <w:bookmarkStart w:id="23" w:name="_Toc400516260"/>
      <w:bookmarkStart w:id="24" w:name="_Toc448414502"/>
      <w:r>
        <w:t>Farmācijas, kosmētikas un medicīnisko ierīču</w:t>
      </w:r>
      <w:r w:rsidRPr="00D81378">
        <w:t xml:space="preserve"> nozares </w:t>
      </w:r>
      <w:r w:rsidRPr="00042BF6">
        <w:rPr>
          <w:rStyle w:val="Heading3Char"/>
        </w:rPr>
        <w:t>struktūra</w:t>
      </w:r>
      <w:bookmarkEnd w:id="19"/>
      <w:bookmarkEnd w:id="20"/>
      <w:bookmarkEnd w:id="21"/>
      <w:bookmarkEnd w:id="22"/>
      <w:bookmarkEnd w:id="23"/>
      <w:bookmarkEnd w:id="24"/>
    </w:p>
    <w:p w14:paraId="00467F3F" w14:textId="15A56BE2" w:rsidR="00042BF6" w:rsidRDefault="00042BF6" w:rsidP="00042BF6">
      <w:r>
        <w:t xml:space="preserve">Kosmētikas, farmācijas un medicīnisko ierīču nozarēs konkurenci ierobežo ienākšanas barjeri – augsta koncentrācija, augstas sākotnējas un P&amp;A investīcijas, produktu reģistrācijas laikietilpīgs un sarežģīts process, kā arī mazais tirgus izmērs, kur jākonkurē ar ārzemes ražotājiem.  </w:t>
      </w:r>
    </w:p>
    <w:p w14:paraId="2B8C4EA2" w14:textId="0EB78BC1" w:rsidR="00042BF6" w:rsidRPr="004B3A11" w:rsidRDefault="00042BF6" w:rsidP="00042BF6">
      <w:r w:rsidRPr="00A5400F">
        <w:lastRenderedPageBreak/>
        <w:t xml:space="preserve">Kosmētikas, farmācijas un medicīnisko ierīču nozares ir koncentrēta nelielā skaitā lielo uzņēmumu. Faktiski visās šīs nozarēs attīstību nosaka vadošie uzņēmumi, kas ir īpaši izteikts farmācijā. </w:t>
      </w:r>
      <w:r>
        <w:t>Šīs i</w:t>
      </w:r>
      <w:r w:rsidRPr="00A5400F">
        <w:t>ndustrij</w:t>
      </w:r>
      <w:r>
        <w:t>as</w:t>
      </w:r>
      <w:r w:rsidRPr="00A5400F">
        <w:t xml:space="preserve"> pamatā </w:t>
      </w:r>
      <w:r>
        <w:t>ir</w:t>
      </w:r>
      <w:r w:rsidRPr="00A5400F">
        <w:t xml:space="preserve"> divi uzņēmumi</w:t>
      </w:r>
      <w:r>
        <w:t xml:space="preserve"> - </w:t>
      </w:r>
      <w:r w:rsidRPr="00A5400F">
        <w:t>AS „Grindeks” un AS „Olainfarm”</w:t>
      </w:r>
      <w:r>
        <w:t>, apgrozījuma īpatsvars ir 94 % -,</w:t>
      </w:r>
      <w:r w:rsidRPr="00A5400F">
        <w:t xml:space="preserve"> un no šo uzņēmumu sekmēm ir atkarīga turpmākā industrijas attīstība. </w:t>
      </w:r>
    </w:p>
    <w:p w14:paraId="40B15FEA" w14:textId="3E56442E" w:rsidR="00042BF6" w:rsidRDefault="00042BF6" w:rsidP="00042BF6">
      <w:r>
        <w:t>Kosmētikas un farmācijas nozares ir vairāk koncentrētas nekā ķīmijas nozare kopumā. Kosmētikā, piemēram, 2 lielākie ražotāji veido 47% no apgrozījuma</w:t>
      </w:r>
      <w:r w:rsidR="00811618">
        <w:t xml:space="preserve"> </w:t>
      </w:r>
      <w:r>
        <w:t xml:space="preserve">un to pamatlīdzekļi pārsniedz 70% (skat. </w:t>
      </w:r>
      <w:r>
        <w:fldChar w:fldCharType="begin"/>
      </w:r>
      <w:r>
        <w:instrText xml:space="preserve"> REF _Ref448224852 \h </w:instrText>
      </w:r>
      <w:r>
        <w:fldChar w:fldCharType="separate"/>
      </w:r>
      <w:r w:rsidR="0066799B">
        <w:t xml:space="preserve">Tabula </w:t>
      </w:r>
      <w:r w:rsidR="0066799B">
        <w:rPr>
          <w:noProof/>
        </w:rPr>
        <w:t>2</w:t>
      </w:r>
      <w:r>
        <w:fldChar w:fldCharType="end"/>
      </w:r>
      <w:r>
        <w:t>). Savukārt farmācijā koncentrācijas līmenis ir divreiz augstāks, jo “Olainfarm” un “Grindeks” ražo gandrīz visu produkciju. Turklāt farmācijas pamatvielu sektorā šī koncentrācijas ir gandrīz divreiz lielāka (95%) nekā farmācijas preparātu ražošanā (50%).</w:t>
      </w:r>
    </w:p>
    <w:p w14:paraId="6FB96BAC" w14:textId="77777777" w:rsidR="00042BF6" w:rsidRDefault="00042BF6" w:rsidP="00042BF6">
      <w:r>
        <w:t>Ņemot vērā Latvijas mazo ekonomiku, nav pārsteigums, ka lielākajā daļā industriju galvenais īpatsvars ir pāris uzņēmumiem, it sevišķi farmācijas industrijās, kur nepieciešamas salīdzinoši lielas investīcijas. Līdzīga situācija ir medicīnisko ierīču tirgū. Kaut gan kosmētikas nozarē koncentrācija ir divreiz mazāka par farmāciju, šīs rādītājs ir samērā liels, norādot uz mēroga priekšrocību izmantošanas iespēju. Lieliem ražotājiem šajās nozarēs tas dod priekšrocības, bet mazie saskaras ar augstākiem ienākšanas šķēršļiem, kas apgrūtina tirgus daļas palielināšanu.</w:t>
      </w:r>
    </w:p>
    <w:p w14:paraId="37649341" w14:textId="0AA48085" w:rsidR="00042BF6" w:rsidRDefault="00042BF6" w:rsidP="00042BF6">
      <w:pPr>
        <w:pStyle w:val="Caption"/>
      </w:pPr>
      <w:bookmarkStart w:id="25" w:name="_Ref448224852"/>
      <w:r>
        <w:t xml:space="preserve">Tabula </w:t>
      </w:r>
      <w:r w:rsidR="009B704C">
        <w:rPr>
          <w:noProof/>
        </w:rPr>
        <w:fldChar w:fldCharType="begin"/>
      </w:r>
      <w:r w:rsidR="009B704C">
        <w:rPr>
          <w:noProof/>
        </w:rPr>
        <w:instrText xml:space="preserve"> SEQ Tabula \* ARABIC </w:instrText>
      </w:r>
      <w:r w:rsidR="009B704C">
        <w:rPr>
          <w:noProof/>
        </w:rPr>
        <w:fldChar w:fldCharType="separate"/>
      </w:r>
      <w:r w:rsidR="0066799B">
        <w:rPr>
          <w:noProof/>
        </w:rPr>
        <w:t>2</w:t>
      </w:r>
      <w:r w:rsidR="009B704C">
        <w:rPr>
          <w:noProof/>
        </w:rPr>
        <w:fldChar w:fldCharType="end"/>
      </w:r>
      <w:bookmarkEnd w:id="25"/>
      <w:r>
        <w:t>. Kosmētikas, farmācijas un medicīnisko ierīču</w:t>
      </w:r>
      <w:r w:rsidRPr="007818F7">
        <w:t xml:space="preserve"> nozares uzņēmumu apgrozījums</w:t>
      </w:r>
      <w:r>
        <w:t>, koncentrācija un pamatkapitāla īpatsvars pēc NACE 2.0. Avots CSP un Lursoft.</w:t>
      </w:r>
    </w:p>
    <w:tbl>
      <w:tblPr>
        <w:tblStyle w:val="PlainTable510"/>
        <w:tblpPr w:leftFromText="180" w:rightFromText="180" w:vertAnchor="text" w:horzAnchor="margin" w:tblpY="116"/>
        <w:tblW w:w="9022" w:type="dxa"/>
        <w:tblLook w:val="04A0" w:firstRow="1" w:lastRow="0" w:firstColumn="1" w:lastColumn="0" w:noHBand="0" w:noVBand="1"/>
      </w:tblPr>
      <w:tblGrid>
        <w:gridCol w:w="3160"/>
        <w:gridCol w:w="1321"/>
        <w:gridCol w:w="1397"/>
        <w:gridCol w:w="1540"/>
        <w:gridCol w:w="1604"/>
      </w:tblGrid>
      <w:tr w:rsidR="00042BF6" w:rsidRPr="0051508A" w14:paraId="322BD358" w14:textId="77777777" w:rsidTr="00C948F2">
        <w:trPr>
          <w:cnfStyle w:val="100000000000" w:firstRow="1" w:lastRow="0" w:firstColumn="0" w:lastColumn="0" w:oddVBand="0" w:evenVBand="0" w:oddHBand="0" w:evenHBand="0" w:firstRowFirstColumn="0" w:firstRowLastColumn="0" w:lastRowFirstColumn="0" w:lastRowLastColumn="0"/>
          <w:trHeight w:val="1215"/>
        </w:trPr>
        <w:tc>
          <w:tcPr>
            <w:cnfStyle w:val="001000000100" w:firstRow="0" w:lastRow="0" w:firstColumn="1" w:lastColumn="0" w:oddVBand="0" w:evenVBand="0" w:oddHBand="0" w:evenHBand="0" w:firstRowFirstColumn="1" w:firstRowLastColumn="0" w:lastRowFirstColumn="0" w:lastRowLastColumn="0"/>
            <w:tcW w:w="3160" w:type="dxa"/>
            <w:noWrap/>
            <w:hideMark/>
          </w:tcPr>
          <w:p w14:paraId="28720280" w14:textId="77777777" w:rsidR="00042BF6" w:rsidRPr="0051508A" w:rsidRDefault="00042BF6" w:rsidP="00CE4E82">
            <w:pPr>
              <w:keepNext/>
              <w:shd w:val="clear" w:color="auto" w:fill="auto"/>
              <w:spacing w:after="0"/>
              <w:jc w:val="left"/>
              <w:rPr>
                <w:rFonts w:ascii="Segoe UI" w:eastAsia="Times New Roman" w:hAnsi="Segoe UI" w:cs="Segoe UI"/>
                <w:color w:val="000000"/>
                <w:sz w:val="22"/>
                <w:szCs w:val="22"/>
                <w:shd w:val="clear" w:color="auto" w:fill="auto"/>
                <w:lang w:eastAsia="lv-LV"/>
              </w:rPr>
            </w:pPr>
            <w:r w:rsidRPr="0051508A">
              <w:rPr>
                <w:rFonts w:ascii="Segoe UI" w:eastAsia="Times New Roman" w:hAnsi="Segoe UI" w:cs="Segoe UI"/>
                <w:color w:val="000000"/>
                <w:sz w:val="22"/>
                <w:szCs w:val="22"/>
                <w:shd w:val="clear" w:color="auto" w:fill="auto"/>
                <w:lang w:eastAsia="lv-LV"/>
              </w:rPr>
              <w:t>Nosaukums</w:t>
            </w:r>
          </w:p>
        </w:tc>
        <w:tc>
          <w:tcPr>
            <w:tcW w:w="1321" w:type="dxa"/>
            <w:hideMark/>
          </w:tcPr>
          <w:p w14:paraId="38D6B2D4" w14:textId="77777777" w:rsidR="00042BF6" w:rsidRPr="0051508A" w:rsidRDefault="00042BF6" w:rsidP="00CE4E82">
            <w:pPr>
              <w:keepNext/>
              <w:shd w:val="clear" w:color="auto" w:fill="auto"/>
              <w:spacing w:after="0"/>
              <w:jc w:val="center"/>
              <w:cnfStyle w:val="100000000000" w:firstRow="1" w:lastRow="0" w:firstColumn="0" w:lastColumn="0" w:oddVBand="0" w:evenVBand="0" w:oddHBand="0" w:evenHBand="0" w:firstRowFirstColumn="0" w:firstRowLastColumn="0" w:lastRowFirstColumn="0" w:lastRowLastColumn="0"/>
              <w:rPr>
                <w:rFonts w:ascii="Segoe UI" w:eastAsia="Times New Roman" w:hAnsi="Segoe UI" w:cs="Segoe UI"/>
                <w:color w:val="000000"/>
                <w:sz w:val="22"/>
                <w:szCs w:val="22"/>
                <w:shd w:val="clear" w:color="auto" w:fill="auto"/>
                <w:lang w:eastAsia="lv-LV"/>
              </w:rPr>
            </w:pPr>
            <w:r w:rsidRPr="0051508A">
              <w:rPr>
                <w:rFonts w:ascii="Segoe UI" w:eastAsia="Times New Roman" w:hAnsi="Segoe UI" w:cs="Segoe UI"/>
                <w:color w:val="000000"/>
                <w:sz w:val="22"/>
                <w:szCs w:val="22"/>
                <w:shd w:val="clear" w:color="auto" w:fill="auto"/>
                <w:lang w:eastAsia="lv-LV"/>
              </w:rPr>
              <w:t>Uzņēmumu skaits</w:t>
            </w:r>
          </w:p>
        </w:tc>
        <w:tc>
          <w:tcPr>
            <w:tcW w:w="1397" w:type="dxa"/>
            <w:hideMark/>
          </w:tcPr>
          <w:p w14:paraId="1F97500D" w14:textId="77777777" w:rsidR="00042BF6" w:rsidRPr="0051508A" w:rsidRDefault="00042BF6" w:rsidP="00CE4E82">
            <w:pPr>
              <w:keepNext/>
              <w:shd w:val="clear" w:color="auto" w:fill="auto"/>
              <w:spacing w:after="0"/>
              <w:jc w:val="left"/>
              <w:cnfStyle w:val="100000000000" w:firstRow="1" w:lastRow="0" w:firstColumn="0" w:lastColumn="0" w:oddVBand="0" w:evenVBand="0" w:oddHBand="0" w:evenHBand="0" w:firstRowFirstColumn="0" w:firstRowLastColumn="0" w:lastRowFirstColumn="0" w:lastRowLastColumn="0"/>
              <w:rPr>
                <w:rFonts w:ascii="Segoe UI" w:eastAsia="Times New Roman" w:hAnsi="Segoe UI" w:cs="Segoe UI"/>
                <w:color w:val="000000"/>
                <w:sz w:val="22"/>
                <w:szCs w:val="22"/>
                <w:shd w:val="clear" w:color="auto" w:fill="auto"/>
                <w:lang w:eastAsia="lv-LV"/>
              </w:rPr>
            </w:pPr>
            <w:r w:rsidRPr="0051508A">
              <w:rPr>
                <w:rFonts w:ascii="Segoe UI" w:eastAsia="Times New Roman" w:hAnsi="Segoe UI" w:cs="Segoe UI"/>
                <w:color w:val="000000"/>
                <w:sz w:val="22"/>
                <w:szCs w:val="22"/>
                <w:shd w:val="clear" w:color="auto" w:fill="auto"/>
                <w:lang w:eastAsia="lv-LV"/>
              </w:rPr>
              <w:t>Apgrozījums 2014. gadā (tūkst. EUR)</w:t>
            </w:r>
          </w:p>
        </w:tc>
        <w:tc>
          <w:tcPr>
            <w:tcW w:w="1540" w:type="dxa"/>
            <w:hideMark/>
          </w:tcPr>
          <w:p w14:paraId="0AE6BED2" w14:textId="77777777" w:rsidR="00042BF6" w:rsidRPr="0051508A" w:rsidRDefault="00042BF6" w:rsidP="00CE4E82">
            <w:pPr>
              <w:keepNext/>
              <w:shd w:val="clear" w:color="auto" w:fill="auto"/>
              <w:spacing w:after="0"/>
              <w:jc w:val="left"/>
              <w:cnfStyle w:val="100000000000" w:firstRow="1" w:lastRow="0" w:firstColumn="0" w:lastColumn="0" w:oddVBand="0" w:evenVBand="0" w:oddHBand="0" w:evenHBand="0" w:firstRowFirstColumn="0" w:firstRowLastColumn="0" w:lastRowFirstColumn="0" w:lastRowLastColumn="0"/>
              <w:rPr>
                <w:rFonts w:ascii="Segoe UI" w:eastAsia="Times New Roman" w:hAnsi="Segoe UI" w:cs="Segoe UI"/>
                <w:color w:val="000000"/>
                <w:sz w:val="22"/>
                <w:szCs w:val="22"/>
                <w:shd w:val="clear" w:color="auto" w:fill="auto"/>
                <w:lang w:eastAsia="lv-LV"/>
              </w:rPr>
            </w:pPr>
            <w:r w:rsidRPr="0051508A">
              <w:rPr>
                <w:rFonts w:ascii="Segoe UI" w:eastAsia="Times New Roman" w:hAnsi="Segoe UI" w:cs="Segoe UI"/>
                <w:color w:val="000000"/>
                <w:sz w:val="22"/>
                <w:szCs w:val="22"/>
                <w:shd w:val="clear" w:color="auto" w:fill="auto"/>
                <w:lang w:eastAsia="lv-LV"/>
              </w:rPr>
              <w:t>2. lielāko ražotāju apgrozījuma īpatsvars nozarē</w:t>
            </w:r>
            <w:r>
              <w:rPr>
                <w:rStyle w:val="FootnoteReference"/>
                <w:rFonts w:ascii="Segoe UI" w:eastAsia="Times New Roman" w:hAnsi="Segoe UI" w:cs="Segoe UI"/>
                <w:color w:val="000000"/>
                <w:sz w:val="22"/>
                <w:szCs w:val="22"/>
                <w:shd w:val="clear" w:color="auto" w:fill="auto"/>
                <w:lang w:eastAsia="lv-LV"/>
              </w:rPr>
              <w:footnoteReference w:id="27"/>
            </w:r>
          </w:p>
        </w:tc>
        <w:tc>
          <w:tcPr>
            <w:tcW w:w="1604" w:type="dxa"/>
            <w:hideMark/>
          </w:tcPr>
          <w:p w14:paraId="51332553" w14:textId="77777777" w:rsidR="00042BF6" w:rsidRPr="0051508A" w:rsidRDefault="00042BF6" w:rsidP="00CE4E82">
            <w:pPr>
              <w:keepNext/>
              <w:shd w:val="clear" w:color="auto" w:fill="auto"/>
              <w:spacing w:after="0"/>
              <w:jc w:val="left"/>
              <w:cnfStyle w:val="100000000000" w:firstRow="1" w:lastRow="0" w:firstColumn="0" w:lastColumn="0" w:oddVBand="0" w:evenVBand="0" w:oddHBand="0" w:evenHBand="0" w:firstRowFirstColumn="0" w:firstRowLastColumn="0" w:lastRowFirstColumn="0" w:lastRowLastColumn="0"/>
              <w:rPr>
                <w:rFonts w:ascii="Segoe UI" w:eastAsia="Times New Roman" w:hAnsi="Segoe UI" w:cs="Segoe UI"/>
                <w:color w:val="000000"/>
                <w:sz w:val="22"/>
                <w:szCs w:val="22"/>
                <w:shd w:val="clear" w:color="auto" w:fill="auto"/>
                <w:lang w:eastAsia="lv-LV"/>
              </w:rPr>
            </w:pPr>
            <w:r w:rsidRPr="0051508A">
              <w:rPr>
                <w:rFonts w:ascii="Segoe UI" w:eastAsia="Times New Roman" w:hAnsi="Segoe UI" w:cs="Segoe UI"/>
                <w:color w:val="000000"/>
                <w:sz w:val="22"/>
                <w:szCs w:val="22"/>
                <w:shd w:val="clear" w:color="auto" w:fill="auto"/>
                <w:lang w:eastAsia="lv-LV"/>
              </w:rPr>
              <w:t>2. lielāko ražotāju pamatkapitāla īpatsvars nozarē</w:t>
            </w:r>
          </w:p>
        </w:tc>
      </w:tr>
      <w:tr w:rsidR="00042BF6" w:rsidRPr="0051508A" w14:paraId="579B0723" w14:textId="77777777" w:rsidTr="00C948F2">
        <w:trPr>
          <w:cnfStyle w:val="000000100000" w:firstRow="0" w:lastRow="0" w:firstColumn="0" w:lastColumn="0" w:oddVBand="0" w:evenVBand="0" w:oddHBand="1" w:evenHBand="0" w:firstRowFirstColumn="0" w:firstRowLastColumn="0" w:lastRowFirstColumn="0" w:lastRowLastColumn="0"/>
          <w:trHeight w:val="720"/>
        </w:trPr>
        <w:tc>
          <w:tcPr>
            <w:cnfStyle w:val="001000000000" w:firstRow="0" w:lastRow="0" w:firstColumn="1" w:lastColumn="0" w:oddVBand="0" w:evenVBand="0" w:oddHBand="0" w:evenHBand="0" w:firstRowFirstColumn="0" w:firstRowLastColumn="0" w:lastRowFirstColumn="0" w:lastRowLastColumn="0"/>
            <w:tcW w:w="3160" w:type="dxa"/>
            <w:hideMark/>
          </w:tcPr>
          <w:p w14:paraId="5657A9EA" w14:textId="77777777" w:rsidR="00042BF6" w:rsidRPr="0051508A" w:rsidRDefault="00042BF6" w:rsidP="00CE4E82">
            <w:pPr>
              <w:keepNext/>
              <w:shd w:val="clear" w:color="auto" w:fill="auto"/>
              <w:spacing w:after="0"/>
              <w:jc w:val="left"/>
              <w:rPr>
                <w:rFonts w:ascii="Segoe UI" w:eastAsia="Times New Roman" w:hAnsi="Segoe UI" w:cs="Segoe UI"/>
                <w:color w:val="000000"/>
                <w:sz w:val="22"/>
                <w:szCs w:val="22"/>
                <w:shd w:val="clear" w:color="auto" w:fill="auto"/>
                <w:lang w:eastAsia="lv-LV"/>
              </w:rPr>
            </w:pPr>
            <w:r w:rsidRPr="0051508A">
              <w:rPr>
                <w:rFonts w:ascii="Segoe UI" w:eastAsia="Times New Roman" w:hAnsi="Segoe UI" w:cs="Segoe UI"/>
                <w:color w:val="000000"/>
                <w:sz w:val="22"/>
                <w:szCs w:val="22"/>
                <w:shd w:val="clear" w:color="auto" w:fill="auto"/>
                <w:lang w:eastAsia="lv-LV"/>
              </w:rPr>
              <w:t>20.4 Ziepju, mazgāšanas, tīrīšanas un spodrināšanas līdzekļu, smaržu un kosmētisko līdzekļu ražošana</w:t>
            </w:r>
          </w:p>
        </w:tc>
        <w:tc>
          <w:tcPr>
            <w:tcW w:w="1321" w:type="dxa"/>
            <w:noWrap/>
            <w:vAlign w:val="center"/>
            <w:hideMark/>
          </w:tcPr>
          <w:p w14:paraId="7C1E52C4" w14:textId="77777777" w:rsidR="00042BF6" w:rsidRPr="0051508A" w:rsidRDefault="00042BF6" w:rsidP="00CE4E82">
            <w:pPr>
              <w:keepNext/>
              <w:shd w:val="clear" w:color="auto" w:fill="auto"/>
              <w:spacing w:after="0"/>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2"/>
                <w:szCs w:val="22"/>
                <w:shd w:val="clear" w:color="auto" w:fill="auto"/>
                <w:lang w:eastAsia="lv-LV"/>
              </w:rPr>
            </w:pPr>
            <w:r w:rsidRPr="0051508A">
              <w:rPr>
                <w:rFonts w:ascii="Calibri" w:eastAsia="Times New Roman" w:hAnsi="Calibri" w:cs="Times New Roman"/>
                <w:color w:val="000000"/>
                <w:sz w:val="22"/>
                <w:szCs w:val="22"/>
                <w:shd w:val="clear" w:color="auto" w:fill="auto"/>
                <w:lang w:eastAsia="lv-LV"/>
              </w:rPr>
              <w:t>71</w:t>
            </w:r>
          </w:p>
        </w:tc>
        <w:tc>
          <w:tcPr>
            <w:tcW w:w="1397" w:type="dxa"/>
            <w:noWrap/>
            <w:vAlign w:val="center"/>
            <w:hideMark/>
          </w:tcPr>
          <w:p w14:paraId="325A2476" w14:textId="77777777" w:rsidR="00042BF6" w:rsidRPr="0051508A" w:rsidRDefault="00042BF6" w:rsidP="00CE4E82">
            <w:pPr>
              <w:keepNext/>
              <w:shd w:val="clear" w:color="auto" w:fill="auto"/>
              <w:spacing w:after="0"/>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2"/>
                <w:szCs w:val="22"/>
                <w:shd w:val="clear" w:color="auto" w:fill="auto"/>
                <w:lang w:eastAsia="lv-LV"/>
              </w:rPr>
            </w:pPr>
            <w:r w:rsidRPr="0051508A">
              <w:rPr>
                <w:rFonts w:ascii="Calibri" w:eastAsia="Times New Roman" w:hAnsi="Calibri" w:cs="Times New Roman"/>
                <w:color w:val="000000"/>
                <w:sz w:val="22"/>
                <w:szCs w:val="22"/>
                <w:shd w:val="clear" w:color="auto" w:fill="auto"/>
                <w:lang w:eastAsia="lv-LV"/>
              </w:rPr>
              <w:t>35 254</w:t>
            </w:r>
          </w:p>
        </w:tc>
        <w:tc>
          <w:tcPr>
            <w:tcW w:w="1540" w:type="dxa"/>
            <w:noWrap/>
            <w:vAlign w:val="center"/>
            <w:hideMark/>
          </w:tcPr>
          <w:p w14:paraId="47359510" w14:textId="77777777" w:rsidR="00042BF6" w:rsidRPr="0051508A" w:rsidRDefault="00042BF6" w:rsidP="00CE4E82">
            <w:pPr>
              <w:keepNext/>
              <w:shd w:val="clear" w:color="auto" w:fill="auto"/>
              <w:spacing w:after="0"/>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2"/>
                <w:szCs w:val="22"/>
                <w:shd w:val="clear" w:color="auto" w:fill="auto"/>
                <w:lang w:eastAsia="lv-LV"/>
              </w:rPr>
            </w:pPr>
            <w:r w:rsidRPr="0051508A">
              <w:rPr>
                <w:rFonts w:ascii="Calibri" w:eastAsia="Times New Roman" w:hAnsi="Calibri" w:cs="Times New Roman"/>
                <w:color w:val="000000"/>
                <w:sz w:val="22"/>
                <w:szCs w:val="22"/>
                <w:shd w:val="clear" w:color="auto" w:fill="auto"/>
                <w:lang w:eastAsia="lv-LV"/>
              </w:rPr>
              <w:t>46%</w:t>
            </w:r>
          </w:p>
        </w:tc>
        <w:tc>
          <w:tcPr>
            <w:tcW w:w="1604" w:type="dxa"/>
            <w:noWrap/>
            <w:vAlign w:val="center"/>
            <w:hideMark/>
          </w:tcPr>
          <w:p w14:paraId="6DA46A9D" w14:textId="77777777" w:rsidR="00042BF6" w:rsidRPr="0051508A" w:rsidRDefault="00042BF6" w:rsidP="00CE4E82">
            <w:pPr>
              <w:keepNext/>
              <w:shd w:val="clear" w:color="auto" w:fill="auto"/>
              <w:spacing w:after="0"/>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2"/>
                <w:szCs w:val="22"/>
                <w:shd w:val="clear" w:color="auto" w:fill="auto"/>
                <w:lang w:eastAsia="lv-LV"/>
              </w:rPr>
            </w:pPr>
            <w:r w:rsidRPr="0051508A">
              <w:rPr>
                <w:rFonts w:ascii="Calibri" w:eastAsia="Times New Roman" w:hAnsi="Calibri" w:cs="Times New Roman"/>
                <w:color w:val="000000"/>
                <w:sz w:val="22"/>
                <w:szCs w:val="22"/>
                <w:shd w:val="clear" w:color="auto" w:fill="auto"/>
                <w:lang w:eastAsia="lv-LV"/>
              </w:rPr>
              <w:t>72%</w:t>
            </w:r>
          </w:p>
        </w:tc>
      </w:tr>
      <w:tr w:rsidR="00042BF6" w:rsidRPr="0051508A" w14:paraId="72E35E30" w14:textId="77777777" w:rsidTr="00C948F2">
        <w:trPr>
          <w:trHeight w:val="480"/>
        </w:trPr>
        <w:tc>
          <w:tcPr>
            <w:cnfStyle w:val="001000000000" w:firstRow="0" w:lastRow="0" w:firstColumn="1" w:lastColumn="0" w:oddVBand="0" w:evenVBand="0" w:oddHBand="0" w:evenHBand="0" w:firstRowFirstColumn="0" w:firstRowLastColumn="0" w:lastRowFirstColumn="0" w:lastRowLastColumn="0"/>
            <w:tcW w:w="3160" w:type="dxa"/>
            <w:hideMark/>
          </w:tcPr>
          <w:p w14:paraId="716DBE86" w14:textId="77777777" w:rsidR="00042BF6" w:rsidRPr="0051508A" w:rsidRDefault="00042BF6" w:rsidP="00CE4E82">
            <w:pPr>
              <w:keepNext/>
              <w:shd w:val="clear" w:color="auto" w:fill="auto"/>
              <w:spacing w:after="0"/>
              <w:jc w:val="left"/>
              <w:rPr>
                <w:rFonts w:ascii="Segoe UI" w:eastAsia="Times New Roman" w:hAnsi="Segoe UI" w:cs="Segoe UI"/>
                <w:color w:val="000000"/>
                <w:sz w:val="22"/>
                <w:szCs w:val="22"/>
                <w:shd w:val="clear" w:color="auto" w:fill="auto"/>
                <w:lang w:eastAsia="lv-LV"/>
              </w:rPr>
            </w:pPr>
            <w:r w:rsidRPr="0051508A">
              <w:rPr>
                <w:rFonts w:ascii="Segoe UI" w:eastAsia="Times New Roman" w:hAnsi="Segoe UI" w:cs="Segoe UI"/>
                <w:color w:val="000000"/>
                <w:sz w:val="22"/>
                <w:szCs w:val="22"/>
                <w:shd w:val="clear" w:color="auto" w:fill="auto"/>
                <w:lang w:eastAsia="lv-LV"/>
              </w:rPr>
              <w:t>21. Farmaceitisko pamatvielu un farmaceitisko preparātu ražošana</w:t>
            </w:r>
          </w:p>
        </w:tc>
        <w:tc>
          <w:tcPr>
            <w:tcW w:w="1321" w:type="dxa"/>
            <w:noWrap/>
            <w:vAlign w:val="center"/>
            <w:hideMark/>
          </w:tcPr>
          <w:p w14:paraId="1A3321B4" w14:textId="77777777" w:rsidR="00042BF6" w:rsidRPr="0051508A" w:rsidRDefault="00042BF6" w:rsidP="00CE4E82">
            <w:pPr>
              <w:keepNext/>
              <w:shd w:val="clear" w:color="auto" w:fill="auto"/>
              <w:spacing w:after="0"/>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2"/>
                <w:szCs w:val="22"/>
                <w:shd w:val="clear" w:color="auto" w:fill="auto"/>
                <w:lang w:eastAsia="lv-LV"/>
              </w:rPr>
            </w:pPr>
            <w:r w:rsidRPr="0051508A">
              <w:rPr>
                <w:rFonts w:ascii="Calibri" w:eastAsia="Times New Roman" w:hAnsi="Calibri" w:cs="Times New Roman"/>
                <w:color w:val="000000"/>
                <w:sz w:val="22"/>
                <w:szCs w:val="22"/>
                <w:shd w:val="clear" w:color="auto" w:fill="auto"/>
                <w:lang w:eastAsia="lv-LV"/>
              </w:rPr>
              <w:t>30</w:t>
            </w:r>
          </w:p>
        </w:tc>
        <w:tc>
          <w:tcPr>
            <w:tcW w:w="1397" w:type="dxa"/>
            <w:noWrap/>
            <w:vAlign w:val="center"/>
            <w:hideMark/>
          </w:tcPr>
          <w:p w14:paraId="36A0B628" w14:textId="77777777" w:rsidR="00042BF6" w:rsidRPr="0051508A" w:rsidRDefault="00042BF6" w:rsidP="00CE4E82">
            <w:pPr>
              <w:keepNext/>
              <w:shd w:val="clear" w:color="auto" w:fill="auto"/>
              <w:spacing w:after="0"/>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2"/>
                <w:szCs w:val="22"/>
                <w:shd w:val="clear" w:color="auto" w:fill="auto"/>
                <w:lang w:eastAsia="lv-LV"/>
              </w:rPr>
            </w:pPr>
            <w:r w:rsidRPr="0051508A">
              <w:rPr>
                <w:rFonts w:ascii="Calibri" w:eastAsia="Times New Roman" w:hAnsi="Calibri" w:cs="Times New Roman"/>
                <w:color w:val="000000"/>
                <w:sz w:val="22"/>
                <w:szCs w:val="22"/>
                <w:shd w:val="clear" w:color="auto" w:fill="auto"/>
                <w:lang w:eastAsia="lv-LV"/>
              </w:rPr>
              <w:t>166 418</w:t>
            </w:r>
          </w:p>
        </w:tc>
        <w:tc>
          <w:tcPr>
            <w:tcW w:w="1540" w:type="dxa"/>
            <w:noWrap/>
            <w:vAlign w:val="center"/>
            <w:hideMark/>
          </w:tcPr>
          <w:p w14:paraId="4E78E61C" w14:textId="77777777" w:rsidR="00042BF6" w:rsidRPr="0051508A" w:rsidRDefault="00042BF6" w:rsidP="00CE4E82">
            <w:pPr>
              <w:keepNext/>
              <w:shd w:val="clear" w:color="auto" w:fill="auto"/>
              <w:spacing w:after="0"/>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2"/>
                <w:szCs w:val="22"/>
                <w:shd w:val="clear" w:color="auto" w:fill="auto"/>
                <w:lang w:eastAsia="lv-LV"/>
              </w:rPr>
            </w:pPr>
            <w:r w:rsidRPr="0051508A">
              <w:rPr>
                <w:rFonts w:ascii="Calibri" w:eastAsia="Times New Roman" w:hAnsi="Calibri" w:cs="Times New Roman"/>
                <w:color w:val="000000"/>
                <w:sz w:val="22"/>
                <w:szCs w:val="22"/>
                <w:shd w:val="clear" w:color="auto" w:fill="auto"/>
                <w:lang w:eastAsia="lv-LV"/>
              </w:rPr>
              <w:t>94%</w:t>
            </w:r>
          </w:p>
        </w:tc>
        <w:tc>
          <w:tcPr>
            <w:tcW w:w="1604" w:type="dxa"/>
            <w:noWrap/>
            <w:vAlign w:val="center"/>
            <w:hideMark/>
          </w:tcPr>
          <w:p w14:paraId="0F20A840" w14:textId="77777777" w:rsidR="00042BF6" w:rsidRPr="0051508A" w:rsidRDefault="00042BF6" w:rsidP="00CE4E82">
            <w:pPr>
              <w:keepNext/>
              <w:shd w:val="clear" w:color="auto" w:fill="auto"/>
              <w:spacing w:after="0"/>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2"/>
                <w:szCs w:val="22"/>
                <w:shd w:val="clear" w:color="auto" w:fill="auto"/>
                <w:lang w:eastAsia="lv-LV"/>
              </w:rPr>
            </w:pPr>
            <w:r w:rsidRPr="0051508A">
              <w:rPr>
                <w:rFonts w:ascii="Calibri" w:eastAsia="Times New Roman" w:hAnsi="Calibri" w:cs="Times New Roman"/>
                <w:color w:val="000000"/>
                <w:sz w:val="22"/>
                <w:szCs w:val="22"/>
                <w:shd w:val="clear" w:color="auto" w:fill="auto"/>
                <w:lang w:eastAsia="lv-LV"/>
              </w:rPr>
              <w:t>96%</w:t>
            </w:r>
          </w:p>
        </w:tc>
      </w:tr>
      <w:tr w:rsidR="00042BF6" w:rsidRPr="0051508A" w14:paraId="5FE6EB69" w14:textId="77777777" w:rsidTr="00C948F2">
        <w:trPr>
          <w:cnfStyle w:val="000000100000" w:firstRow="0" w:lastRow="0" w:firstColumn="0" w:lastColumn="0" w:oddVBand="0" w:evenVBand="0" w:oddHBand="1" w:evenHBand="0" w:firstRowFirstColumn="0" w:firstRowLastColumn="0" w:lastRowFirstColumn="0" w:lastRowLastColumn="0"/>
          <w:trHeight w:val="495"/>
        </w:trPr>
        <w:tc>
          <w:tcPr>
            <w:cnfStyle w:val="001000000000" w:firstRow="0" w:lastRow="0" w:firstColumn="1" w:lastColumn="0" w:oddVBand="0" w:evenVBand="0" w:oddHBand="0" w:evenHBand="0" w:firstRowFirstColumn="0" w:firstRowLastColumn="0" w:lastRowFirstColumn="0" w:lastRowLastColumn="0"/>
            <w:tcW w:w="3160" w:type="dxa"/>
            <w:hideMark/>
          </w:tcPr>
          <w:p w14:paraId="17A14775" w14:textId="77777777" w:rsidR="00042BF6" w:rsidRPr="0051508A" w:rsidRDefault="00042BF6" w:rsidP="00CE4E82">
            <w:pPr>
              <w:keepNext/>
              <w:shd w:val="clear" w:color="auto" w:fill="auto"/>
              <w:spacing w:after="0"/>
              <w:jc w:val="left"/>
              <w:rPr>
                <w:rFonts w:ascii="Segoe UI" w:eastAsia="Times New Roman" w:hAnsi="Segoe UI" w:cs="Segoe UI"/>
                <w:color w:val="000000"/>
                <w:sz w:val="22"/>
                <w:szCs w:val="22"/>
                <w:shd w:val="clear" w:color="auto" w:fill="auto"/>
                <w:lang w:eastAsia="lv-LV"/>
              </w:rPr>
            </w:pPr>
            <w:r w:rsidRPr="0051508A">
              <w:rPr>
                <w:rFonts w:ascii="Segoe UI" w:eastAsia="Times New Roman" w:hAnsi="Segoe UI" w:cs="Segoe UI"/>
                <w:color w:val="000000"/>
                <w:sz w:val="22"/>
                <w:szCs w:val="22"/>
                <w:shd w:val="clear" w:color="auto" w:fill="auto"/>
                <w:lang w:eastAsia="lv-LV"/>
              </w:rPr>
              <w:t>32.5 Medicīnas un zobārstniecības instrumentu un piederumu ražošana</w:t>
            </w:r>
          </w:p>
        </w:tc>
        <w:tc>
          <w:tcPr>
            <w:tcW w:w="1321" w:type="dxa"/>
            <w:noWrap/>
            <w:vAlign w:val="center"/>
            <w:hideMark/>
          </w:tcPr>
          <w:p w14:paraId="213F1C43" w14:textId="77777777" w:rsidR="00042BF6" w:rsidRPr="0051508A" w:rsidRDefault="00042BF6" w:rsidP="00CE4E82">
            <w:pPr>
              <w:keepNext/>
              <w:shd w:val="clear" w:color="auto" w:fill="auto"/>
              <w:spacing w:after="0"/>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2"/>
                <w:szCs w:val="22"/>
                <w:shd w:val="clear" w:color="auto" w:fill="auto"/>
                <w:lang w:eastAsia="lv-LV"/>
              </w:rPr>
            </w:pPr>
            <w:r w:rsidRPr="0051508A">
              <w:rPr>
                <w:rFonts w:ascii="Calibri" w:eastAsia="Times New Roman" w:hAnsi="Calibri" w:cs="Times New Roman"/>
                <w:color w:val="000000"/>
                <w:sz w:val="22"/>
                <w:szCs w:val="22"/>
                <w:shd w:val="clear" w:color="auto" w:fill="auto"/>
                <w:lang w:eastAsia="lv-LV"/>
              </w:rPr>
              <w:t>84</w:t>
            </w:r>
          </w:p>
        </w:tc>
        <w:tc>
          <w:tcPr>
            <w:tcW w:w="1397" w:type="dxa"/>
            <w:noWrap/>
            <w:vAlign w:val="center"/>
            <w:hideMark/>
          </w:tcPr>
          <w:p w14:paraId="0D2BF821" w14:textId="77777777" w:rsidR="00042BF6" w:rsidRPr="0051508A" w:rsidRDefault="00042BF6" w:rsidP="00CE4E82">
            <w:pPr>
              <w:keepNext/>
              <w:shd w:val="clear" w:color="auto" w:fill="auto"/>
              <w:spacing w:after="0"/>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2"/>
                <w:szCs w:val="22"/>
                <w:shd w:val="clear" w:color="auto" w:fill="auto"/>
                <w:lang w:eastAsia="lv-LV"/>
              </w:rPr>
            </w:pPr>
            <w:r w:rsidRPr="0051508A">
              <w:rPr>
                <w:rFonts w:ascii="Calibri" w:eastAsia="Times New Roman" w:hAnsi="Calibri" w:cs="Times New Roman"/>
                <w:color w:val="000000"/>
                <w:sz w:val="22"/>
                <w:szCs w:val="22"/>
                <w:shd w:val="clear" w:color="auto" w:fill="auto"/>
                <w:lang w:eastAsia="lv-LV"/>
              </w:rPr>
              <w:t>17 892</w:t>
            </w:r>
          </w:p>
        </w:tc>
        <w:tc>
          <w:tcPr>
            <w:tcW w:w="1540" w:type="dxa"/>
            <w:noWrap/>
            <w:vAlign w:val="center"/>
            <w:hideMark/>
          </w:tcPr>
          <w:p w14:paraId="6ADACFE5" w14:textId="77777777" w:rsidR="00042BF6" w:rsidRPr="0051508A" w:rsidRDefault="00042BF6" w:rsidP="00CE4E82">
            <w:pPr>
              <w:keepNext/>
              <w:shd w:val="clear" w:color="auto" w:fill="auto"/>
              <w:spacing w:after="0"/>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2"/>
                <w:szCs w:val="22"/>
                <w:shd w:val="clear" w:color="auto" w:fill="auto"/>
                <w:lang w:eastAsia="lv-LV"/>
              </w:rPr>
            </w:pPr>
          </w:p>
        </w:tc>
        <w:tc>
          <w:tcPr>
            <w:tcW w:w="1604" w:type="dxa"/>
            <w:noWrap/>
            <w:vAlign w:val="center"/>
            <w:hideMark/>
          </w:tcPr>
          <w:p w14:paraId="67667016" w14:textId="77777777" w:rsidR="00042BF6" w:rsidRPr="0051508A" w:rsidRDefault="00042BF6" w:rsidP="00CE4E82">
            <w:pPr>
              <w:keepNext/>
              <w:shd w:val="clear" w:color="auto" w:fill="auto"/>
              <w:spacing w:after="0"/>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2"/>
                <w:szCs w:val="22"/>
                <w:shd w:val="clear" w:color="auto" w:fill="auto"/>
                <w:lang w:eastAsia="lv-LV"/>
              </w:rPr>
            </w:pPr>
          </w:p>
        </w:tc>
      </w:tr>
    </w:tbl>
    <w:p w14:paraId="38E1F8CE" w14:textId="28B89E0C" w:rsidR="00042BF6" w:rsidRDefault="00042BF6" w:rsidP="00042BF6">
      <w:r>
        <w:t xml:space="preserve">Apskatot pamatlīdzekļu aprites ātrumu (skat. </w:t>
      </w:r>
      <w:r>
        <w:fldChar w:fldCharType="begin"/>
      </w:r>
      <w:r>
        <w:instrText xml:space="preserve"> REF _Ref399826956 \h </w:instrText>
      </w:r>
      <w:r>
        <w:fldChar w:fldCharType="separate"/>
      </w:r>
      <w:r w:rsidR="0066799B">
        <w:t xml:space="preserve">Ilustrācija </w:t>
      </w:r>
      <w:r w:rsidR="0066799B">
        <w:rPr>
          <w:noProof/>
        </w:rPr>
        <w:t>3</w:t>
      </w:r>
      <w:r>
        <w:fldChar w:fldCharType="end"/>
      </w:r>
      <w:r>
        <w:t>), ir redzams, ka farmācijas un kosmētikas noarēs tas ir daudz augstāks relatīvi pret ķīmijas nozari kopumā. Tas liecina par augstākajam kapietālinvestīcijām šajās nozarēs. Interesanti, ka šīs rādītājs lielākajiem 20 ražotājiem ir augstākais ķīmisko vielu un produktu ražošanā, kur ietilpst kosmētikas ražotāji, bet pārējo uzņēmumu radītāji ir gandrīz trīsreiz augstāki farmācijas nozarē. Neskatoties uz lielajām investīcijām, lieli farmācijas nozares ražotāji spēj atgūt savus ieguldījumus, pateicoties  augstākām cenām un apjomiem</w:t>
      </w:r>
      <w:r w:rsidR="00A52C0E">
        <w:t>.</w:t>
      </w:r>
    </w:p>
    <w:p w14:paraId="5012D29F" w14:textId="4834C056" w:rsidR="00042BF6" w:rsidRDefault="00042BF6" w:rsidP="00042BF6">
      <w:pPr>
        <w:pStyle w:val="Caption"/>
      </w:pPr>
      <w:bookmarkStart w:id="26" w:name="_Ref399826956"/>
      <w:bookmarkStart w:id="27" w:name="_Toc400468667"/>
      <w:bookmarkStart w:id="28" w:name="_Toc400470484"/>
      <w:bookmarkStart w:id="29" w:name="_Toc400470461"/>
      <w:bookmarkStart w:id="30" w:name="_Toc403055227"/>
      <w:bookmarkStart w:id="31" w:name="_Ref448086072"/>
      <w:r>
        <w:lastRenderedPageBreak/>
        <w:t xml:space="preserve">Ilustrācija </w:t>
      </w:r>
      <w:r w:rsidR="009B704C">
        <w:rPr>
          <w:noProof/>
        </w:rPr>
        <w:fldChar w:fldCharType="begin"/>
      </w:r>
      <w:r w:rsidR="009B704C">
        <w:rPr>
          <w:noProof/>
        </w:rPr>
        <w:instrText xml:space="preserve"> SEQ Ilustrācija \* ARABIC </w:instrText>
      </w:r>
      <w:r w:rsidR="009B704C">
        <w:rPr>
          <w:noProof/>
        </w:rPr>
        <w:fldChar w:fldCharType="separate"/>
      </w:r>
      <w:r w:rsidR="0066799B">
        <w:rPr>
          <w:noProof/>
        </w:rPr>
        <w:t>3</w:t>
      </w:r>
      <w:r w:rsidR="009B704C">
        <w:rPr>
          <w:noProof/>
        </w:rPr>
        <w:fldChar w:fldCharType="end"/>
      </w:r>
      <w:bookmarkEnd w:id="26"/>
      <w:r>
        <w:t>. Pamatlīdzekļu aprites ātrums ķīmijas nozares apakšnozarēs 20 galvenajos un pārējos uzņēmumos.</w:t>
      </w:r>
      <w:bookmarkEnd w:id="27"/>
      <w:bookmarkEnd w:id="28"/>
      <w:bookmarkEnd w:id="29"/>
      <w:bookmarkEnd w:id="30"/>
      <w:bookmarkEnd w:id="31"/>
    </w:p>
    <w:p w14:paraId="7D270B27" w14:textId="77777777" w:rsidR="00042BF6" w:rsidRDefault="00042BF6" w:rsidP="00042BF6">
      <w:pPr>
        <w:pStyle w:val="Chart"/>
      </w:pPr>
      <w:r>
        <w:drawing>
          <wp:inline distT="0" distB="0" distL="0" distR="0" wp14:anchorId="5DE3DEDD" wp14:editId="09E99C54">
            <wp:extent cx="4562475" cy="2390775"/>
            <wp:effectExtent l="0" t="0" r="9525" b="9525"/>
            <wp:docPr id="30" name="Chart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1933362A" w14:textId="77777777" w:rsidR="00042BF6" w:rsidRDefault="00042BF6" w:rsidP="00042BF6">
      <w:r>
        <w:t>Peļņas rādītāji, kā jau prognozējams, visaugstākie ir vadošajos uzņēmumos farmācijas nozarē, kur produktiem ir visaugstākā pievienotā vērtība. Sekmīgas darbības ražošanā ir iegūta arī vērā ņemama neto peļņa. Tāpēc tieši farmācijas nozarē notiek daudz P&amp;A aktivitāšu.</w:t>
      </w:r>
    </w:p>
    <w:p w14:paraId="5CB1AE7D" w14:textId="77777777" w:rsidR="00042BF6" w:rsidRDefault="00042BF6" w:rsidP="00042BF6">
      <w:r>
        <w:t>Interesanta situācija vērojama ķīmisko vielu un ķīmisko produktu ražošanas nozarē, kur ir izteikta atšķirība starp kosmētikas ražotāju un citu ķīmisko produktu ražotāju peļņas rādītājiem. Vadošo kosmētikas ražotāju bruto peļņas rādītāji ir vismaz divas reizes augstāki par pārējo uzņēmumu peļņas rādītājiem, bet neto peļņa abiem kosmētikas uzņēmumiem, kas pēc apgrozījuma ir starp pieciem lielākajiem nozares uzņēmumiem, ir negatīva. Tas liecina par augstām fiksētām izmaksām, kas visticamāk ir saistītas ar iekārtu iegadāšanos un to norakstīšanu, kas pakapēniski parādas atskaitēs.</w:t>
      </w:r>
    </w:p>
    <w:p w14:paraId="277FEB52" w14:textId="50937605" w:rsidR="00042BF6" w:rsidRDefault="00042BF6" w:rsidP="00042BF6">
      <w:pPr>
        <w:pStyle w:val="Caption"/>
      </w:pPr>
      <w:bookmarkStart w:id="32" w:name="_Toc400468668"/>
      <w:bookmarkStart w:id="33" w:name="_Toc400470485"/>
      <w:bookmarkStart w:id="34" w:name="_Toc400470462"/>
      <w:bookmarkStart w:id="35" w:name="_Toc403055228"/>
      <w:r>
        <w:t xml:space="preserve">Ilustrācija </w:t>
      </w:r>
      <w:r w:rsidR="009B704C">
        <w:rPr>
          <w:noProof/>
        </w:rPr>
        <w:fldChar w:fldCharType="begin"/>
      </w:r>
      <w:r w:rsidR="009B704C">
        <w:rPr>
          <w:noProof/>
        </w:rPr>
        <w:instrText xml:space="preserve"> SEQ Ilustrācija \* ARABIC </w:instrText>
      </w:r>
      <w:r w:rsidR="009B704C">
        <w:rPr>
          <w:noProof/>
        </w:rPr>
        <w:fldChar w:fldCharType="separate"/>
      </w:r>
      <w:r w:rsidR="0066799B">
        <w:rPr>
          <w:noProof/>
        </w:rPr>
        <w:t>4</w:t>
      </w:r>
      <w:r w:rsidR="009B704C">
        <w:rPr>
          <w:noProof/>
        </w:rPr>
        <w:fldChar w:fldCharType="end"/>
      </w:r>
      <w:r>
        <w:rPr>
          <w:noProof/>
        </w:rPr>
        <w:t>.</w:t>
      </w:r>
      <w:r>
        <w:t xml:space="preserve"> Galveno uzņēmumu vidējā peļņas marža.</w:t>
      </w:r>
      <w:bookmarkEnd w:id="32"/>
      <w:bookmarkEnd w:id="33"/>
      <w:bookmarkEnd w:id="34"/>
      <w:bookmarkEnd w:id="35"/>
    </w:p>
    <w:p w14:paraId="71737091" w14:textId="77777777" w:rsidR="00042BF6" w:rsidRDefault="00042BF6" w:rsidP="00042BF6">
      <w:r>
        <w:rPr>
          <w:noProof/>
          <w:shd w:val="clear" w:color="auto" w:fill="auto"/>
          <w:lang w:eastAsia="lv-LV"/>
        </w:rPr>
        <w:drawing>
          <wp:inline distT="0" distB="0" distL="0" distR="0" wp14:anchorId="26AF450D" wp14:editId="2CF8BD92">
            <wp:extent cx="5267054" cy="1933144"/>
            <wp:effectExtent l="0" t="0" r="0" b="0"/>
            <wp:docPr id="3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0"/>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267054" cy="19331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p w14:paraId="74B26B53" w14:textId="77777777" w:rsidR="00042BF6" w:rsidRDefault="00042BF6" w:rsidP="00042BF6">
      <w:r w:rsidRPr="00155DDA">
        <w:t>Ne tikai augstas investīcijas, bet arī mazs iekšējais tirgus ir konkureneces ierobežošanas cēlonis. Tā rezultātā atsevišķās nozarēs ir augsti šķēršļi iekļūšanai tajās, jo praktiski nekavējoties jāpārvar eksporta šķērslis.</w:t>
      </w:r>
    </w:p>
    <w:p w14:paraId="7BCC4AB5" w14:textId="6DE413FD" w:rsidR="00042BF6" w:rsidRDefault="00042BF6" w:rsidP="00042BF6">
      <w:pPr>
        <w:shd w:val="clear" w:color="auto" w:fill="auto"/>
        <w:jc w:val="left"/>
        <w:rPr>
          <w:vertAlign w:val="superscript"/>
        </w:rPr>
      </w:pPr>
      <w:r w:rsidRPr="001A4D2B">
        <w:lastRenderedPageBreak/>
        <w:t xml:space="preserve">Vēl viens ierobežojošais faktors ir sarežģīts reģistrācijas process gan farmācijā, gan kosmētikas nozarē. Farmācijas un medicīnisko ierīču ražošanu dažās valstīs kontrolē </w:t>
      </w:r>
      <w:r w:rsidR="006833EB">
        <w:t>“</w:t>
      </w:r>
      <w:r w:rsidRPr="001A4D2B">
        <w:t>Laba ražošanas prakse</w:t>
      </w:r>
      <w:r w:rsidR="006833EB">
        <w:t>”</w:t>
      </w:r>
      <w:r w:rsidRPr="001A4D2B">
        <w:rPr>
          <w:vertAlign w:val="superscript"/>
        </w:rPr>
        <w:footnoteReference w:id="28"/>
      </w:r>
      <w:r w:rsidRPr="001A4D2B">
        <w:t>, bet dažās valstīs tiek pieprasīts vides novērtējuma (VN) ziņojums, kas apraksta zāļu un to metabolizēto blakusproduktu dzīves ciklu un toksiskumu.</w:t>
      </w:r>
      <w:r w:rsidRPr="001A4D2B">
        <w:rPr>
          <w:vertAlign w:val="superscript"/>
        </w:rPr>
        <w:footnoteReference w:id="29"/>
      </w:r>
      <w:r w:rsidRPr="00BA0F9E">
        <w:rPr>
          <w:vertAlign w:val="superscript"/>
        </w:rPr>
        <w:t> </w:t>
      </w:r>
    </w:p>
    <w:p w14:paraId="503A2C2A" w14:textId="6A933253" w:rsidR="00042BF6" w:rsidRPr="009543FF" w:rsidRDefault="00042BF6" w:rsidP="009543FF">
      <w:r>
        <w:t>Turklāt uzņēmumiem trūkst speciālistu zāļu reģistrācijai, kas būtiski ierobežo to konkurētspēju patentbrīvo zāļu segmentā. Arī Zāļu valsts aģentūras kapacitātes ierobežojumi neļauj Latvijas farmācijas uzņēmumiem efektīvi izmantot Latviju kā vietu, kur veikt zāļu reģistrēšanai visai Eiropas Savienībai, kas citādi varētu palielināt valsts atpazīstamību eksporta tirgos.</w:t>
      </w:r>
    </w:p>
    <w:p w14:paraId="66E81F0A" w14:textId="77777777" w:rsidR="00872550" w:rsidRPr="00D81378" w:rsidRDefault="00872550" w:rsidP="00FA39F1">
      <w:pPr>
        <w:pStyle w:val="Heading3"/>
      </w:pPr>
      <w:bookmarkStart w:id="36" w:name="_Toc448414504"/>
      <w:r w:rsidRPr="00D81378">
        <w:t>Izaugsmes dinamika</w:t>
      </w:r>
      <w:bookmarkEnd w:id="36"/>
    </w:p>
    <w:p w14:paraId="71FBB6B2" w14:textId="77777777" w:rsidR="00872550" w:rsidRDefault="00872550" w:rsidP="00872550">
      <w:r>
        <w:t>Farmācijas, kosmētikas un medicīnisko ierīču nozares stabili attīstās un aug straujāk nekā apstrādes rūpniecība un ekonomika kopumā. Aktīvās farmaceitiskas vielas un farmaceitiski produkti veido ¾ no trīs nozaru kopējā apgrozījuma. Arī eksporta ziņā tai ir vislielākā nozīme, kas attiecīgi ir 64% no farmācijas un kosmētikas produktu kopējās eksporta vērtības.</w:t>
      </w:r>
    </w:p>
    <w:p w14:paraId="609CB25D" w14:textId="544FB803" w:rsidR="00872550" w:rsidRDefault="00872550" w:rsidP="00872550">
      <w:pPr>
        <w:pStyle w:val="Caption"/>
        <w:spacing w:after="0"/>
      </w:pPr>
      <w:r>
        <w:t xml:space="preserve">Ilustrācija </w:t>
      </w:r>
      <w:r w:rsidR="009B704C">
        <w:rPr>
          <w:noProof/>
        </w:rPr>
        <w:fldChar w:fldCharType="begin"/>
      </w:r>
      <w:r w:rsidR="009B704C">
        <w:rPr>
          <w:noProof/>
        </w:rPr>
        <w:instrText xml:space="preserve"> SEQ Ilustrācija \* ARABIC </w:instrText>
      </w:r>
      <w:r w:rsidR="009B704C">
        <w:rPr>
          <w:noProof/>
        </w:rPr>
        <w:fldChar w:fldCharType="separate"/>
      </w:r>
      <w:r w:rsidR="0066799B">
        <w:rPr>
          <w:noProof/>
        </w:rPr>
        <w:t>5</w:t>
      </w:r>
      <w:r w:rsidR="009B704C">
        <w:rPr>
          <w:noProof/>
        </w:rPr>
        <w:fldChar w:fldCharType="end"/>
      </w:r>
      <w:r>
        <w:rPr>
          <w:noProof/>
        </w:rPr>
        <w:t>.</w:t>
      </w:r>
      <w:r>
        <w:t xml:space="preserve"> Sektoru apgrozījumu dinamika attiecībā pret nozari kopumā. Avots CSP.</w:t>
      </w:r>
    </w:p>
    <w:p w14:paraId="7673829B" w14:textId="77777777" w:rsidR="00872550" w:rsidRPr="00483C50" w:rsidRDefault="00872550" w:rsidP="00872550">
      <w:pPr>
        <w:spacing w:before="0" w:after="0"/>
        <w:jc w:val="center"/>
        <w:rPr>
          <w:lang w:eastAsia="lv-LV"/>
        </w:rPr>
      </w:pPr>
      <w:r>
        <w:rPr>
          <w:noProof/>
          <w:lang w:eastAsia="lv-LV"/>
        </w:rPr>
        <w:drawing>
          <wp:inline distT="0" distB="0" distL="0" distR="0" wp14:anchorId="417C8913" wp14:editId="61A37AE3">
            <wp:extent cx="4710430" cy="3284525"/>
            <wp:effectExtent l="0" t="0" r="13970" b="11430"/>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486678EE" w14:textId="77777777" w:rsidR="00872550" w:rsidRDefault="00872550" w:rsidP="00872550">
      <w:r>
        <w:lastRenderedPageBreak/>
        <w:t>Farmācijas, kosmētikas un medicīnas ierīču ražošana cieta mazāk krīzes gados, salīdzinot ar ķīmijas rūpniecību vai apstrādes rūpniecību kopumā. Krīzes rezultātā ķīmijas daļa apstrādes rūpniecībā no 14,0% 2008. gadā nokritās līdz 12,4% 2010. gadā, tomēr farmācijas un kosmētikas nozaru īpatsvars nedaudz palielinājās un turpināja pieaugt. Arī medicīnas ierīču īpatsvars pieauga par 0.02 procentpunktiem, kas norāda, ka visas trīs nozares pieauga ātrāk par apstrādes rūpniecību. To ikgadējais pieaugums pēdējos 5 gados bija 10%</w:t>
      </w:r>
      <w:r>
        <w:rPr>
          <w:rStyle w:val="FootnoteReference"/>
        </w:rPr>
        <w:footnoteReference w:id="30"/>
      </w:r>
      <w:r>
        <w:t>, salīdzinot ar 8,1% apstrādes rūpniecības izaugsmes tempu. Tas ir skaidrojams ar to, ka pārsvarā šīs nozares ražo nepieciešamības preces, kas ir pieprasītas jebkuros ekonomikas apstākļos. Visu trīs sektoru relatīvais īpatsvars mēreni palielinās pēckrīzes laikā.</w:t>
      </w:r>
    </w:p>
    <w:p w14:paraId="1E3A2FC9" w14:textId="2C9FA370" w:rsidR="00872550" w:rsidRDefault="00872550" w:rsidP="00872550">
      <w:pPr>
        <w:pStyle w:val="Caption"/>
      </w:pPr>
      <w:r>
        <w:t xml:space="preserve">Ilustrācija </w:t>
      </w:r>
      <w:r w:rsidR="009B704C">
        <w:rPr>
          <w:noProof/>
        </w:rPr>
        <w:fldChar w:fldCharType="begin"/>
      </w:r>
      <w:r w:rsidR="009B704C">
        <w:rPr>
          <w:noProof/>
        </w:rPr>
        <w:instrText xml:space="preserve"> SEQ Ilustrācija \* ARABIC </w:instrText>
      </w:r>
      <w:r w:rsidR="009B704C">
        <w:rPr>
          <w:noProof/>
        </w:rPr>
        <w:fldChar w:fldCharType="separate"/>
      </w:r>
      <w:r w:rsidR="0066799B">
        <w:rPr>
          <w:noProof/>
        </w:rPr>
        <w:t>6</w:t>
      </w:r>
      <w:r w:rsidR="009B704C">
        <w:rPr>
          <w:noProof/>
        </w:rPr>
        <w:fldChar w:fldCharType="end"/>
      </w:r>
      <w:r>
        <w:rPr>
          <w:noProof/>
        </w:rPr>
        <w:t>.</w:t>
      </w:r>
      <w:r>
        <w:t xml:space="preserve"> </w:t>
      </w:r>
      <w:r w:rsidRPr="00502F2E">
        <w:t>Apgrozījums pa nozarēm 200</w:t>
      </w:r>
      <w:r>
        <w:t>5</w:t>
      </w:r>
      <w:r w:rsidRPr="00502F2E">
        <w:t>.</w:t>
      </w:r>
      <w:r>
        <w:t>—</w:t>
      </w:r>
      <w:r w:rsidRPr="00502F2E">
        <w:t>201</w:t>
      </w:r>
      <w:r>
        <w:t>4</w:t>
      </w:r>
      <w:r w:rsidRPr="00502F2E">
        <w:t>. gads, EUR</w:t>
      </w:r>
      <w:r>
        <w:t xml:space="preserve">. </w:t>
      </w:r>
      <w:r w:rsidRPr="00502F2E">
        <w:t>Avots</w:t>
      </w:r>
      <w:r>
        <w:t>: CSP un uzņēmumu gada pārskati</w:t>
      </w:r>
      <w:r>
        <w:rPr>
          <w:rStyle w:val="FootnoteReference"/>
        </w:rPr>
        <w:footnoteReference w:id="31"/>
      </w:r>
      <w:r>
        <w:t>.</w:t>
      </w:r>
    </w:p>
    <w:p w14:paraId="3947E605" w14:textId="77777777" w:rsidR="00872550" w:rsidRPr="00B866B7" w:rsidRDefault="00872550" w:rsidP="00872550">
      <w:r>
        <w:rPr>
          <w:noProof/>
          <w:lang w:eastAsia="lv-LV"/>
        </w:rPr>
        <w:drawing>
          <wp:inline distT="0" distB="0" distL="0" distR="0" wp14:anchorId="57AE4043" wp14:editId="52E43676">
            <wp:extent cx="5220970" cy="3573780"/>
            <wp:effectExtent l="0" t="0" r="17780" b="7620"/>
            <wp:docPr id="20" name="Chart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165029E8" w14:textId="77777777" w:rsidR="00872550" w:rsidRDefault="00872550" w:rsidP="00872550">
      <w:r>
        <w:t xml:space="preserve">Farmācijas nozare salīdzinoši strauji ir atguvusies no krīzes, un kopš 2009. gada Latvijā uzrāda pastāvīgu izaugsmi. Kopumā 2011. gadā nozares apgrozījums jau pārsniedza pirmskrīzes rādītājus un nodrošinājusi </w:t>
      </w:r>
      <w:r w:rsidRPr="005E06C5">
        <w:t>eksportā bāzētu pieaugumu. K</w:t>
      </w:r>
      <w:r>
        <w:t>osmētikas un medicīnisko ierīču nozares pirmskrīzes apjomus sasniedza nedaudz vēlāk – tikai 2013. gadā.</w:t>
      </w:r>
    </w:p>
    <w:p w14:paraId="1C6465D3" w14:textId="77777777" w:rsidR="00872550" w:rsidRDefault="00872550" w:rsidP="00872550">
      <w:r>
        <w:t xml:space="preserve">Kopš krīzes nozarē vērojama šādas tendences </w:t>
      </w:r>
      <w:r>
        <w:rPr>
          <w:rFonts w:cstheme="minorHAnsi"/>
        </w:rPr>
        <w:t>—</w:t>
      </w:r>
      <w:r>
        <w:t xml:space="preserve"> </w:t>
      </w:r>
      <w:r w:rsidRPr="005E06C5">
        <w:t>eksporta pieaugums,</w:t>
      </w:r>
      <w:r>
        <w:t xml:space="preserve"> ievērojams nodarbinātības pieaugums un darba algu pieaugums kosmētikas un medicīnisko ierīču nozarēs.</w:t>
      </w:r>
    </w:p>
    <w:p w14:paraId="52A32080" w14:textId="77777777" w:rsidR="00872550" w:rsidRDefault="00872550" w:rsidP="00872550">
      <w:r>
        <w:t xml:space="preserve">Arī uzņēmumu skaits kosmētikas un medicīnisko ierīču nozarēs ievērojami palielinājās. Kosmētikas nozarē tas ir vairāk nekā trīskāršojies pēdējos 10 gados, un palielinājās arī krīzes laikā, sasniedzot 43. Savukārt ziepju un tīrīšanas līdzekļu ražotāju skaits pieauga par 40% līdz 28. Medicīnas ierīču nozarē 2014. gadā bija 84 uzņēmumi jeb par 20% vairāk nekā 2009. gadā, tomēr vairāki no tiem darbojas tikai zobārstniecības jomā. Farmācijas nozarē uzņēmumu ir krietni mazāk – tikai 30 jeb par pusi vairāk nekā krīzes laikā. </w:t>
      </w:r>
    </w:p>
    <w:p w14:paraId="5722A7F7" w14:textId="77777777" w:rsidR="00872550" w:rsidRDefault="00872550" w:rsidP="00872550">
      <w:r>
        <w:lastRenderedPageBreak/>
        <w:t>Visi šie rādītāji liecina par veiksmīgu nozaru attīstību un konkurētspējas pieaugumu, kas acīmredzot meklējams augstākā produktivitātē. Neskatoties uz personāla pieaugumu, darba ražīgums arī palielinājās. Darba algu pieaugums divās no trijām nozarēm kopš 2010. gada norāda, ka produktivitātes pieaugums sāk atspoguļoties darba algās.</w:t>
      </w:r>
    </w:p>
    <w:p w14:paraId="679283EC" w14:textId="77777777" w:rsidR="00872550" w:rsidRPr="005E06C5" w:rsidRDefault="00872550" w:rsidP="00872550">
      <w:r w:rsidRPr="005E06C5">
        <w:t>Kopumā nozaru apgrozījuma pieaugumu nosaka uzņēmumu stratēģiskā fokusēšanās uz eksporta tirgiem, kā arī veiksmīga inovatīvu produktu izstrāde un laišana tirgū.</w:t>
      </w:r>
    </w:p>
    <w:p w14:paraId="7ADBE2BA" w14:textId="77777777" w:rsidR="00872550" w:rsidRDefault="00872550" w:rsidP="00872550">
      <w:r w:rsidRPr="005E06C5">
        <w:t>Saskaņā ar Centrālās statistikas pārvaldes (CSP) sniegtajiem datiem 2014. gadā kosmētikas ražošanas apjomi palielinājās par 13,7 %, savukārt farmācijas un medicīnisko ierīču ražošanas apjomi, salīdzinot ar 2013. gadu, krita par 8,7% un 3,1% attiecīgi. Kopumā farmācijas nozares apgrozījuma kritumu nosaka eksporta apjomu samazināšanās. Samazinājums būtu ievērojami lielāks, ja to daļēji nekompensētu iekšējā pieprasījuma pieau</w:t>
      </w:r>
      <w:r>
        <w:t>gums.</w:t>
      </w:r>
    </w:p>
    <w:p w14:paraId="6095EC49" w14:textId="57EE0265" w:rsidR="00872550" w:rsidRDefault="00872550" w:rsidP="00872550">
      <w:r>
        <w:t>Valsts budžeta naudas trūkums būtiski ietekmē farmācijas un medicīnisko ierīču ražotājus. Tie saskarās ar augstāku cenu konkurenci, jo valsts medicīniskās iesatādes cenšas iegadāties lētākus produktus (bieži vien no Āzija</w:t>
      </w:r>
      <w:r w:rsidR="007C4F38">
        <w:t>s</w:t>
      </w:r>
      <w:r>
        <w:t xml:space="preserve"> ražotājiem), kuru kvalitāte ne vienmēr ir labākā. Turklāt bieži vien tās nespēj iegādāties jaunas medicīniskās iekārtas, tāpec to izīrē, kas būtiski samazina piegādātāju apgrozījumu un peļņu, kā arī naudas plūsmu. Farmācijas nozarē peļņas rādītājs 2014. gadā samazinājās par 54%.</w:t>
      </w:r>
    </w:p>
    <w:p w14:paraId="729689F4" w14:textId="77777777" w:rsidR="00872550" w:rsidRDefault="00872550" w:rsidP="00872550">
      <w:r>
        <w:t>Patērētāji arī cenšas ekonomēt, izvēloties lētākas zāles. Neskatoties uz palielinātu zāļu realizāciju un pacientu skaitu, medikamentu skaits pieaug ātrāk nekā valsts apmaksāto medikamentu daudzums, kas liek pacientiem tērēt vairāk naudas no kabatas. Turklāt medikamentu vidējā cena arī būtiski palielinās.</w:t>
      </w:r>
    </w:p>
    <w:p w14:paraId="143742E4" w14:textId="5CC51D4A" w:rsidR="00872550" w:rsidRDefault="00872550" w:rsidP="00872550">
      <w:r>
        <w:t>Tomēr Latvijas ražotājiem arī ir dažas priekšrocības. Tām parasti ir lētākas cenas, piemēram, bezrecepšu zāļu vai kosmētikas ražošanā, nekā importētajām alternatīvām. Turklāt arvien populārāki kļūst dabīgi produkti, kuru ražošanā Latvijai ir liela pieredze.</w:t>
      </w:r>
    </w:p>
    <w:p w14:paraId="270DD203" w14:textId="1CB8C330" w:rsidR="00872550" w:rsidRDefault="00872550" w:rsidP="00872550">
      <w:r w:rsidRPr="00C11D8B">
        <w:t xml:space="preserve">Vietējā tirgus daļa nozaru ražotājiem </w:t>
      </w:r>
      <w:r>
        <w:t>kopumā</w:t>
      </w:r>
      <w:r w:rsidRPr="00C11D8B">
        <w:t xml:space="preserve"> ir maza. Farmācijas ražotaji Latvijā realizē tikai 14 mlj. eiro, kas ir 4,4% no </w:t>
      </w:r>
      <w:r w:rsidRPr="00446E1C">
        <w:rPr>
          <w:shd w:val="clear" w:color="auto" w:fill="auto"/>
        </w:rPr>
        <w:t>kopējā tirgus apjoma, bet pēdē</w:t>
      </w:r>
      <w:r w:rsidR="00446E1C" w:rsidRPr="00446E1C">
        <w:rPr>
          <w:shd w:val="clear" w:color="auto" w:fill="auto"/>
        </w:rPr>
        <w:t>jos gados tie aug kopā ar tirgu</w:t>
      </w:r>
      <w:r w:rsidRPr="00446E1C">
        <w:rPr>
          <w:shd w:val="clear" w:color="auto" w:fill="auto"/>
        </w:rPr>
        <w:t xml:space="preserve">. </w:t>
      </w:r>
      <w:r w:rsidR="007C4F38" w:rsidRPr="00446E1C">
        <w:rPr>
          <w:shd w:val="clear" w:color="auto" w:fill="auto"/>
        </w:rPr>
        <w:t>Medicīnisko ierīču tirgū, kā arī komētikā</w:t>
      </w:r>
      <w:r w:rsidRPr="00446E1C">
        <w:rPr>
          <w:shd w:val="clear" w:color="auto" w:fill="auto"/>
        </w:rPr>
        <w:t xml:space="preserve"> situācija ir</w:t>
      </w:r>
      <w:r w:rsidRPr="00C11D8B">
        <w:t xml:space="preserve"> līdzīga – pārsvarā tiek realizētas importa preces.</w:t>
      </w:r>
    </w:p>
    <w:p w14:paraId="583E84DF" w14:textId="77777777" w:rsidR="00872550" w:rsidRDefault="00872550" w:rsidP="00872550">
      <w:r w:rsidRPr="00166122">
        <w:t>Jāņem vērā, ka katrai produktu kategorijai konkurence ir dažāda atkarībā no tirgus lieluma. Piemēram, farmācijā antihistamīniem konkurence ir vislielākā, jo arī tirgus ir lielāks. Tāpēc uzņēmumi cenšas ieņemt nišas, kur tie spēj saņemt lielāku peļņu, lai ieguldītu P&amp;A aktivitātēs.</w:t>
      </w:r>
    </w:p>
    <w:p w14:paraId="717C394C" w14:textId="56E90A3D" w:rsidR="00872550" w:rsidRDefault="00872550" w:rsidP="00872550">
      <w:pPr>
        <w:pStyle w:val="Caption"/>
      </w:pPr>
      <w:r>
        <w:lastRenderedPageBreak/>
        <w:t xml:space="preserve">Ilustrācija </w:t>
      </w:r>
      <w:r w:rsidR="009B704C">
        <w:rPr>
          <w:noProof/>
        </w:rPr>
        <w:fldChar w:fldCharType="begin"/>
      </w:r>
      <w:r w:rsidR="009B704C">
        <w:rPr>
          <w:noProof/>
        </w:rPr>
        <w:instrText xml:space="preserve"> SEQ Ilustrācija \* ARABIC </w:instrText>
      </w:r>
      <w:r w:rsidR="009B704C">
        <w:rPr>
          <w:noProof/>
        </w:rPr>
        <w:fldChar w:fldCharType="separate"/>
      </w:r>
      <w:r w:rsidR="0066799B">
        <w:rPr>
          <w:noProof/>
        </w:rPr>
        <w:t>7</w:t>
      </w:r>
      <w:r w:rsidR="009B704C">
        <w:rPr>
          <w:noProof/>
        </w:rPr>
        <w:fldChar w:fldCharType="end"/>
      </w:r>
      <w:r>
        <w:t xml:space="preserve">. </w:t>
      </w:r>
      <w:r w:rsidRPr="007A6030">
        <w:t>Latvijas zāļu ražotāju tirgus daļa, milj. Eiro. Avots: VZA.</w:t>
      </w:r>
    </w:p>
    <w:p w14:paraId="45AF1417" w14:textId="6B47A9AB" w:rsidR="00872550" w:rsidRDefault="00872550" w:rsidP="00872550">
      <w:r>
        <w:rPr>
          <w:noProof/>
          <w:lang w:eastAsia="lv-LV"/>
        </w:rPr>
        <w:drawing>
          <wp:inline distT="0" distB="0" distL="0" distR="0" wp14:anchorId="180A2AD4" wp14:editId="5919D850">
            <wp:extent cx="4572000" cy="2743200"/>
            <wp:effectExtent l="0" t="0" r="0" b="0"/>
            <wp:docPr id="21" name="Chart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16C6382C" w14:textId="77777777" w:rsidR="009543FF" w:rsidRPr="00D81378" w:rsidRDefault="009543FF" w:rsidP="00FA39F1">
      <w:pPr>
        <w:pStyle w:val="Heading3"/>
      </w:pPr>
      <w:bookmarkStart w:id="37" w:name="_Toc448414506"/>
      <w:r w:rsidRPr="00D81378">
        <w:t>Eksports</w:t>
      </w:r>
      <w:bookmarkEnd w:id="37"/>
    </w:p>
    <w:p w14:paraId="4D65B179" w14:textId="7724CD98" w:rsidR="009543FF" w:rsidRDefault="009543FF" w:rsidP="009543FF">
      <w:r>
        <w:t>Farmācijas un kosmētikas nozares ir vienas no apstrādes rūpniecības nozarēm, kuru produkcija galvenokārt tiek eksportēta. Tāpēc eksporta dinamika būtiski ietekmē nozaru rādītājus</w:t>
      </w:r>
      <w:r>
        <w:rPr>
          <w:rStyle w:val="FootnoteReference"/>
        </w:rPr>
        <w:footnoteReference w:id="32"/>
      </w:r>
      <w:r>
        <w:t xml:space="preserve">. Ķīmijas nozarē kopumā eksports veido vairāk nekā 75 % no kopējās saražotās produkcijas, farmācijā tas sasniedz 90%, bet kosmētikā – ap 70%. Nozares pēckrīzes pieaugumus ir saistīts gan ar spēju pārorientēties uz ārējiem tirgiem </w:t>
      </w:r>
      <w:r>
        <w:rPr>
          <w:rFonts w:cstheme="minorHAnsi"/>
        </w:rPr>
        <w:t>—</w:t>
      </w:r>
      <w:r>
        <w:t xml:space="preserve"> galvenokārt ES-15 valstīm, kā arī ar lielo NVS valstu īpatsvaru eksportā, kurus krīze skara mazāk par pārējas valstis, gan ar pieprasījuma pieaugumu vietējā tirgū.</w:t>
      </w:r>
    </w:p>
    <w:p w14:paraId="51563F5B" w14:textId="7CCB12B0" w:rsidR="009543FF" w:rsidRDefault="009543FF" w:rsidP="009543FF">
      <w:r>
        <w:t>Kopumā kosmētikas nozares izaugsmes rādītāji ir trīs reiz augstāki un stabilāki nekā farmācija, kas būtiski ietekmē kopējo nozaru apgrozījumu.</w:t>
      </w:r>
      <w:r w:rsidR="00513B91">
        <w:rPr>
          <w:rStyle w:val="FootnoteReference"/>
        </w:rPr>
        <w:footnoteReference w:id="33"/>
      </w:r>
      <w:r>
        <w:t xml:space="preserve"> Neskatoties uz farmācijas nozares ražošanas apjomu kritumu 2014. gadā par 8 %, tās vidējais pieauguma temps 2009-2014. gados, tāpat kā kosmētikas un medicīnisko ierīču nozarēs, bija ap 10%. Tomēr eksporta izaugsme šajā periodā sasniedza 4,7% gadā farmācijā un 15,3% kosmētikas nozarē. 2014. gadā kosmētikas nozares apgrozījums pieauga par 13,7%, ko pamata izraisīja eksporta palielināšana. Savukārt farmācijas nozares apgrozījums krita par 8 %, kas galvenokārt notika eksporta samazinājuma dēļ.</w:t>
      </w:r>
    </w:p>
    <w:p w14:paraId="74C95C13" w14:textId="7AD5F4C2" w:rsidR="009543FF" w:rsidRDefault="009543FF" w:rsidP="009543FF">
      <w:pPr>
        <w:pStyle w:val="Caption"/>
      </w:pPr>
      <w:r>
        <w:lastRenderedPageBreak/>
        <w:t xml:space="preserve">Ilustrācija </w:t>
      </w:r>
      <w:r w:rsidR="009B704C">
        <w:rPr>
          <w:noProof/>
        </w:rPr>
        <w:fldChar w:fldCharType="begin"/>
      </w:r>
      <w:r w:rsidR="009B704C">
        <w:rPr>
          <w:noProof/>
        </w:rPr>
        <w:instrText xml:space="preserve"> SEQ Ilustrācija \* ARABIC </w:instrText>
      </w:r>
      <w:r w:rsidR="009B704C">
        <w:rPr>
          <w:noProof/>
        </w:rPr>
        <w:fldChar w:fldCharType="separate"/>
      </w:r>
      <w:r w:rsidR="0066799B">
        <w:rPr>
          <w:noProof/>
        </w:rPr>
        <w:t>8</w:t>
      </w:r>
      <w:r w:rsidR="009B704C">
        <w:rPr>
          <w:noProof/>
        </w:rPr>
        <w:fldChar w:fldCharType="end"/>
      </w:r>
      <w:r>
        <w:rPr>
          <w:noProof/>
        </w:rPr>
        <w:t>.</w:t>
      </w:r>
      <w:r>
        <w:t xml:space="preserve"> Eksporta apjomi farmācijas un kosmētikas</w:t>
      </w:r>
      <w:r>
        <w:rPr>
          <w:rStyle w:val="FootnoteReference"/>
        </w:rPr>
        <w:footnoteReference w:id="34"/>
      </w:r>
      <w:r>
        <w:t xml:space="preserve"> nozarēs 2009.-2015. gadā un relatīvā dinamika pret 2009. gadu. Avots CSP. </w:t>
      </w:r>
    </w:p>
    <w:p w14:paraId="6BDE32D2" w14:textId="77777777" w:rsidR="009543FF" w:rsidRDefault="009543FF" w:rsidP="009543FF">
      <w:r>
        <w:rPr>
          <w:noProof/>
          <w:lang w:eastAsia="lv-LV"/>
        </w:rPr>
        <w:drawing>
          <wp:inline distT="0" distB="0" distL="0" distR="0" wp14:anchorId="466EBC45" wp14:editId="213988F9">
            <wp:extent cx="5220970" cy="3183255"/>
            <wp:effectExtent l="0" t="0" r="17780" b="17145"/>
            <wp:docPr id="22" name="Chart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46508E1C" w14:textId="77777777" w:rsidR="009543FF" w:rsidRPr="001967EE" w:rsidRDefault="009543FF" w:rsidP="009543FF">
      <w:pPr>
        <w:keepLines w:val="0"/>
        <w:shd w:val="clear" w:color="auto" w:fill="auto"/>
        <w:spacing w:before="0" w:after="0"/>
        <w:rPr>
          <w:rStyle w:val="Emphasis"/>
        </w:rPr>
      </w:pPr>
      <w:r w:rsidRPr="001967EE">
        <w:rPr>
          <w:rStyle w:val="Emphasis"/>
          <w:lang w:eastAsia="lv-LV"/>
        </w:rPr>
        <w:t>*</w:t>
      </w:r>
      <w:r>
        <w:rPr>
          <w:rStyle w:val="Emphasis"/>
          <w:lang w:eastAsia="lv-LV"/>
        </w:rPr>
        <w:t>Produktu grupa, kurā ietilpst ē</w:t>
      </w:r>
      <w:r w:rsidRPr="001967EE">
        <w:rPr>
          <w:rStyle w:val="Emphasis"/>
          <w:lang w:eastAsia="lv-LV"/>
        </w:rPr>
        <w:t>teriskās eļļas un rezinoīdi; parfimērijas, kosmētikas un ķermeņa kopšanas līdzekļi</w:t>
      </w:r>
      <w:r>
        <w:rPr>
          <w:rStyle w:val="Emphasis"/>
          <w:lang w:eastAsia="lv-LV"/>
        </w:rPr>
        <w:t>.</w:t>
      </w:r>
    </w:p>
    <w:p w14:paraId="1B68B0B3" w14:textId="642A8BD6" w:rsidR="009543FF" w:rsidRDefault="009543FF" w:rsidP="009543FF">
      <w:r>
        <w:t xml:space="preserve">Kosmētikas rūpniecības un farmācijas ražošanas galvenie eksporta tirgi atšķiras. Kosmētikas nozare uz NVS valstīm eksportē tikai ap 25 % no savas kopējās eksporta produkcijas, savukārt farmācijā šis īpatsvars pārsniedz 40 %. Tomēr farmācijā Krievijas kopējais īpatsvars ir tikai 15%, salīdzinot ar 22% kosmētikā, bet vairāk iet uz Centrālāzijas tirgiem – Uzbekistānu un Kazahstānu, kuru īpatsvars kosmētika ir pavisam mazs. Tāpat proporcionāli lielāks īpatsvars eksporta ziņā kosmētikas rūpniecībai ir uz ES valstīm </w:t>
      </w:r>
      <w:r>
        <w:rPr>
          <w:rFonts w:cstheme="minorHAnsi"/>
        </w:rPr>
        <w:t>—</w:t>
      </w:r>
      <w:r>
        <w:t xml:space="preserve"> no desmit lielākiem eksporta galamērķiem 59% ir ES valstis, savukārt farmācijā tikai 48%. Abās nozarēs uz Baltijas valstīm eksportē nedaudz vairāk par trešdaļu, un Lietuvas īpatsvars ir lielākais – gandrīz ¼. Kosmētikas nozare savu produkciju realizē tālākās ģeogrāfijas teritorijās, tostarp Ķīnā (3%) un ASV. </w:t>
      </w:r>
    </w:p>
    <w:p w14:paraId="1A4F856B" w14:textId="77777777" w:rsidR="009543FF" w:rsidRDefault="009543FF" w:rsidP="009543FF">
      <w:r>
        <w:t>2014. gadā izaugsmes tempi lielākajos eksporta tirgos, it sevišķi NVS valstīs, samazinājās. Latvijas ražotāju eksporta īpatsvars uz šīm valstīm ir liels, kas palielina to ievainojamību un jūtīgumu pret ārējiem šokiem. Piemēram, AS “Grindeks” eksporta īpatsvars Ukrainā un Krievijā pārsniedz 50%, bet AS “Olainfarm” tur eksportē 20% un 40% attiecīgi, vēl 10% uz Baltkrieviju un 6-7% uz Kazahstānu. Neliela diversifikācija tai ir Eiropas tirgos – 5% no eksporta iet uz Lielbritāniju.</w:t>
      </w:r>
    </w:p>
    <w:p w14:paraId="77BE0ACC" w14:textId="77777777" w:rsidR="009543FF" w:rsidRDefault="009543FF" w:rsidP="009543FF">
      <w:r>
        <w:lastRenderedPageBreak/>
        <w:t xml:space="preserve">Latvija tomēr eksportē vairākus </w:t>
      </w:r>
      <w:r w:rsidRPr="009859C4">
        <w:rPr>
          <w:rStyle w:val="Emphasis"/>
        </w:rPr>
        <w:t xml:space="preserve">premium </w:t>
      </w:r>
      <w:r>
        <w:t>klases produktus, kas mazāk reaģē uz ekonomisko situāciju. Piemēram, farmācijā liela eksporta daļa ir recepšu zālēm, kas ir mazak pakārtotas tirgus situācijām (valūtas devalvācijai). Truklāt politiska situācija bijušās padomju var atklāt jaunas iespējas Latvijas ražotājiem. Ukrainai, aizliedzot vairāku farmaceitisko preparātu importu no Krievijas, jāmeklē jaunas importa iespējas, un šīs nišas var ieņemt tieši Latvijas ražotāji. Kosmētikas ražotāji kā “Stenders” un “Madara Cosmetics” eksportē augstākas klases produktus, kuru pieprasījums tomēr reaģē uz ekonomisko situāciju un iedzīvotāju ienākumiem eksporta tirgos.</w:t>
      </w:r>
    </w:p>
    <w:p w14:paraId="50B12566" w14:textId="77777777" w:rsidR="009543FF" w:rsidRDefault="009543FF" w:rsidP="009543FF">
      <w:r>
        <w:t>Ņemot vērā pēdējo divu gadu sarežģījumus Krievijas tirgū, ir pamats uzskatīt, ka diversifikācija farmācijas nozares uzņēmumiem, kā arī vairākiem kosmētikas ražotājiem, ir nepieciešama jau tuvākajā laikā, jo atsevišķu komersantu palielinātā ekspozīcija Krievijas un ar to saistītos tirgos uzskatāma par būtisku apdraudējumu Krievijas neprognozējamās rīcības dēļ.</w:t>
      </w:r>
    </w:p>
    <w:p w14:paraId="36F4AC79" w14:textId="011D2074" w:rsidR="009543FF" w:rsidRDefault="009543FF" w:rsidP="009543FF">
      <w:pPr>
        <w:pStyle w:val="Caption"/>
      </w:pPr>
      <w:r>
        <w:t xml:space="preserve">Ilustrācija </w:t>
      </w:r>
      <w:r w:rsidR="009B704C">
        <w:rPr>
          <w:noProof/>
        </w:rPr>
        <w:fldChar w:fldCharType="begin"/>
      </w:r>
      <w:r w:rsidR="009B704C">
        <w:rPr>
          <w:noProof/>
        </w:rPr>
        <w:instrText xml:space="preserve"> SEQ Ilustrācija \* ARABIC </w:instrText>
      </w:r>
      <w:r w:rsidR="009B704C">
        <w:rPr>
          <w:noProof/>
        </w:rPr>
        <w:fldChar w:fldCharType="separate"/>
      </w:r>
      <w:r w:rsidR="0066799B">
        <w:rPr>
          <w:noProof/>
        </w:rPr>
        <w:t>9</w:t>
      </w:r>
      <w:r w:rsidR="009B704C">
        <w:rPr>
          <w:noProof/>
        </w:rPr>
        <w:fldChar w:fldCharType="end"/>
      </w:r>
      <w:r>
        <w:t>. Farmācijas un kosmētikas nozaru eksporta galamērķi 2015. gadā. Avots: CSP.</w:t>
      </w:r>
    </w:p>
    <w:p w14:paraId="63895F71" w14:textId="77777777" w:rsidR="009543FF" w:rsidRDefault="009543FF" w:rsidP="009543FF">
      <w:r>
        <w:rPr>
          <w:noProof/>
          <w:lang w:eastAsia="lv-LV"/>
        </w:rPr>
        <w:drawing>
          <wp:inline distT="0" distB="0" distL="0" distR="0" wp14:anchorId="37486D22" wp14:editId="708F7F6D">
            <wp:extent cx="5535381" cy="3104515"/>
            <wp:effectExtent l="0" t="0" r="825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547338" cy="3111221"/>
                    </a:xfrm>
                    <a:prstGeom prst="rect">
                      <a:avLst/>
                    </a:prstGeom>
                    <a:noFill/>
                  </pic:spPr>
                </pic:pic>
              </a:graphicData>
            </a:graphic>
          </wp:inline>
        </w:drawing>
      </w:r>
    </w:p>
    <w:p w14:paraId="281F68D0" w14:textId="2A7E9BB9" w:rsidR="009543FF" w:rsidRDefault="009543FF" w:rsidP="009543FF">
      <w:pPr>
        <w:rPr>
          <w:lang w:eastAsia="lv-LV"/>
        </w:rPr>
      </w:pPr>
      <w:r>
        <w:rPr>
          <w:lang w:eastAsia="lv-LV"/>
        </w:rPr>
        <w:t>Relatīvā eksporta dinamika labi parāda, ka visstabilāk eksporta apjomus palielina kosmētikas ražotāji un relatīvi mazāk veicas farmācijas nozarei, kuriem eksporta apjomi 2012.-2015. gados ir samazinājušies. Industrijai jāsāk būtiski pārskatīt eksporta tirgi, jo šo grupu galvenie eksporta tirgi ir nestabili un tajos vērojama tendence situācijai pasliktināties. P&amp;A investīciju palielināšana un jaunu produktu izstrāde dod iespēju iekarot jaunus tirgus ar augstākās pievienotās vērtības produktiem.</w:t>
      </w:r>
    </w:p>
    <w:p w14:paraId="5804C994" w14:textId="77777777" w:rsidR="009543FF" w:rsidRDefault="009543FF" w:rsidP="009543FF">
      <w:pPr>
        <w:rPr>
          <w:lang w:eastAsia="lv-LV"/>
        </w:rPr>
      </w:pPr>
      <w:r>
        <w:rPr>
          <w:lang w:eastAsia="lv-LV"/>
        </w:rPr>
        <w:t>Jaunu tirgu iekarošana rada jaunus izaicinājumus. Lielākais ir produktu reģistrācija velamajos tirgos, kas ir aktuāli farmācijas un medicīnisko ierīču nozarēm. Tas ir sarežģīts, dārgs un laikietilpīgs process, kas būtiski ierobežo eksporta paplašināšanu. Vēl viens izaicinājums ir pielāgošanās citu tirgu pieprasījumam, kas ir būtiskāks kosmētikas nozarē, kur patērētāju vēlmes krasi atšķiras starp pasaules daļām.</w:t>
      </w:r>
    </w:p>
    <w:p w14:paraId="4AB620AF" w14:textId="77777777" w:rsidR="009543FF" w:rsidRPr="00E67A0E" w:rsidRDefault="009543FF" w:rsidP="009543FF">
      <w:r w:rsidRPr="00DF4118">
        <w:lastRenderedPageBreak/>
        <w:t>Jaunu tirgu apgūšana ir saistīta ar lielām izmaksām, ko mazi uzņēmumi ne vienmēr var segt.</w:t>
      </w:r>
      <w:r w:rsidRPr="00BF000B">
        <w:rPr>
          <w:b/>
        </w:rPr>
        <w:t xml:space="preserve"> </w:t>
      </w:r>
      <w:r>
        <w:t>S</w:t>
      </w:r>
      <w:r w:rsidRPr="00E67A0E">
        <w:t>adarbības pa</w:t>
      </w:r>
      <w:r>
        <w:t xml:space="preserve">rtneru apzināšana, piedaloties </w:t>
      </w:r>
      <w:r w:rsidRPr="00E67A0E">
        <w:t xml:space="preserve">izstādēs, individuālos </w:t>
      </w:r>
      <w:r>
        <w:t>uzņēmējdarbības</w:t>
      </w:r>
      <w:r w:rsidRPr="00E67A0E">
        <w:t xml:space="preserve"> braucienos, valsts amatpersonu vizītēs, ietver salīdzinoši lielus finanšu līdzekļus, kuru atdeve ne vienmēr ir vērtējama lietderīgi, tāpēc pastāv identificētais šķērslis, kas</w:t>
      </w:r>
      <w:r>
        <w:t>, ņemot vērā</w:t>
      </w:r>
      <w:r w:rsidRPr="00E67A0E">
        <w:t xml:space="preserve"> esoš</w:t>
      </w:r>
      <w:r>
        <w:t>o</w:t>
      </w:r>
      <w:r w:rsidRPr="00E67A0E">
        <w:t xml:space="preserve"> eksporta potenciāl</w:t>
      </w:r>
      <w:r>
        <w:t>u un</w:t>
      </w:r>
      <w:r w:rsidRPr="00E67A0E">
        <w:t xml:space="preserve"> riska neuzņemšan</w:t>
      </w:r>
      <w:r>
        <w:t>os</w:t>
      </w:r>
      <w:r w:rsidRPr="00E67A0E">
        <w:t xml:space="preserve"> attiecībā uz tirgus apgūšanas izmaksu palielināšanu, neļauj vēl vairāk paplašināt ekonomikas eksporta apjomu.</w:t>
      </w:r>
      <w:r>
        <w:t xml:space="preserve"> Lielajiem ražotājiem tā ir mazāka problēma, jo tie ir spējīgi veltīt līdzekļus mārketingam un ārējo tirgus apgūšanai. AS “Grindeka” budžets šādām aktivitātēm sastāda 25% no apgrozījuma.</w:t>
      </w:r>
    </w:p>
    <w:p w14:paraId="012F51E9" w14:textId="6BAB287B" w:rsidR="00B12566" w:rsidRPr="00B12566" w:rsidRDefault="009543FF" w:rsidP="00E31A44">
      <w:pPr>
        <w:jc w:val="left"/>
      </w:pPr>
      <w:r w:rsidRPr="00EB0EE8">
        <w:t>Tuvākajā nākotnē Latvija var kļūt par atklātu laboratoriju rūpnieciskiem produktiem, pārvēršoties par patentbrīvo medikamentu reģistrācijas centru Austrum- un Ziemeļeiropā. Tas var būtiski palielināt Latvijas kā valsts atpazīstamību citās Eiropas valstīs, sekmējot vietējo ražotāju eksporta izaugsmei.</w:t>
      </w:r>
    </w:p>
    <w:p w14:paraId="66BE29B2" w14:textId="2458C9C4" w:rsidR="00E16BC2" w:rsidRDefault="00E7337B" w:rsidP="00A34972">
      <w:pPr>
        <w:pStyle w:val="Heading2"/>
      </w:pPr>
      <w:bookmarkStart w:id="38" w:name="_Toc119072221"/>
      <w:r>
        <w:t>Saimnieciskās darbības veicēju</w:t>
      </w:r>
      <w:r w:rsidR="00E16BC2">
        <w:t xml:space="preserve"> </w:t>
      </w:r>
      <w:r w:rsidR="00292A98">
        <w:t>i</w:t>
      </w:r>
      <w:r w:rsidR="00292A98" w:rsidRPr="00A34972">
        <w:t>espējas attīstīt konkurētspējas nišas</w:t>
      </w:r>
      <w:bookmarkEnd w:id="38"/>
    </w:p>
    <w:p w14:paraId="6CF54A57" w14:textId="7093D7D3" w:rsidR="00432F4F" w:rsidRDefault="00AB3980" w:rsidP="00D818BA">
      <w:r>
        <w:t>L</w:t>
      </w:r>
      <w:r w:rsidR="00432F4F">
        <w:t xml:space="preserve">atvijas uzņēmumi ir nelieli, ļoti specializēti nišu </w:t>
      </w:r>
      <w:r w:rsidR="00162221">
        <w:t>dalībnieki, kas prot tās identificēt un veiksmīgi aizņemt. I</w:t>
      </w:r>
      <w:r w:rsidR="00432F4F">
        <w:t xml:space="preserve">ndustrijas turpmāka specializācija kopumā var notikt tikai organiski gadījumā, ja P&amp;A&amp;I jomā tiek nodrošināti izcilas kvalitātes cilvēkresursi un inovāciju attīstības faktori. </w:t>
      </w:r>
    </w:p>
    <w:p w14:paraId="0BC7F9DA" w14:textId="23EAFB96" w:rsidR="00432F4F" w:rsidRDefault="00432F4F" w:rsidP="00D818BA">
      <w:pPr>
        <w:pStyle w:val="BulletsF"/>
      </w:pPr>
      <w:r>
        <w:t xml:space="preserve">Latvijas </w:t>
      </w:r>
      <w:r w:rsidR="00AB3980">
        <w:t>farmācijas, medicīnisko ierīču un kosmētikas</w:t>
      </w:r>
      <w:r>
        <w:t xml:space="preserve"> industrija kopumā ir neliela industrija attiecībā pret tās preču tirgiem, tāpēc tā ir šauri specializēta</w:t>
      </w:r>
      <w:r w:rsidR="00EA3C4F">
        <w:t>.</w:t>
      </w:r>
    </w:p>
    <w:p w14:paraId="11C8D8B2" w14:textId="320AE241" w:rsidR="00432F4F" w:rsidRDefault="00AB3980" w:rsidP="00D818BA">
      <w:pPr>
        <w:pStyle w:val="BulletsF"/>
      </w:pPr>
      <w:r>
        <w:t>Šīs i</w:t>
      </w:r>
      <w:r w:rsidR="00432F4F">
        <w:t>ndustrijas uzņēmumi pamatā ir ļoti šauri nišu uzņēmumi, kuri ir pārstāvēti ļoti atšķirīgos sektoros, nišās, tirgos un produktu grupās. Uzņēmumiem ir atšķirīgi biznesa modeļi.</w:t>
      </w:r>
    </w:p>
    <w:p w14:paraId="66969DF8" w14:textId="5DB2FD5F" w:rsidR="00EA3C4F" w:rsidRDefault="00EA3C4F" w:rsidP="00D818BA">
      <w:pPr>
        <w:pStyle w:val="BulletsF"/>
      </w:pPr>
      <w:r>
        <w:t>Latvijas uzņēmumu ieņemtās nišas pasaules industrijas attīstības tendences ietekmē daudz mazāk nekā lielos starptautiskos uzņēmumus. Atsevišķiem uzņēmumiem ir palielināta ekspozīcija Krievijas tirgū un ar to saistītos tirgos, kas uzskatāma par būtisku to finansiālās stabilitātes apdraudējumu.</w:t>
      </w:r>
    </w:p>
    <w:p w14:paraId="101C0C28" w14:textId="14343F22" w:rsidR="00432F4F" w:rsidRDefault="00432F4F" w:rsidP="00D818BA">
      <w:pPr>
        <w:pStyle w:val="BulletsF"/>
      </w:pPr>
      <w:r>
        <w:t>Pašreizējo nišu potenciāls vēl nav izsmelts. Savukārt</w:t>
      </w:r>
      <w:r w:rsidR="00B8323A">
        <w:t xml:space="preserve"> </w:t>
      </w:r>
      <w:r>
        <w:t xml:space="preserve">pat lielākam skaitam uzņēmumu pārvietojoties uz kādu no iespējamām nišām, nav pietiekamas pārliecības par tādu kompetences </w:t>
      </w:r>
      <w:r w:rsidRPr="00432F4F">
        <w:t>pieaugumu un uzņēmumu koncentrāciju, kas radītu kritisko masu un attaisnotu esošo nišu</w:t>
      </w:r>
      <w:r>
        <w:t xml:space="preserve"> atstāšanu.</w:t>
      </w:r>
    </w:p>
    <w:p w14:paraId="6F5520F9" w14:textId="77777777" w:rsidR="00432F4F" w:rsidRDefault="00432F4F" w:rsidP="00D818BA">
      <w:pPr>
        <w:pStyle w:val="BulletsF"/>
      </w:pPr>
      <w:r>
        <w:t>Uzņēmumiem būtiskākais attīstības šķērslis ir kvalificētu cilvēkresursu trūkums. Šāds cilvēkresursu trūkums ir paredzams īsā, vidējā termiņā, kā arī ilgtermiņā.</w:t>
      </w:r>
    </w:p>
    <w:p w14:paraId="1689D7BB" w14:textId="2353506E" w:rsidR="00432F4F" w:rsidRDefault="00432F4F" w:rsidP="00D818BA">
      <w:pPr>
        <w:pStyle w:val="BulletsF"/>
      </w:pPr>
      <w:r>
        <w:t>Attiecībā uz zinātnes specializāciju un līdzekļu koncentrēšanu situācija ir divējāda, proti:</w:t>
      </w:r>
      <w:r w:rsidR="00AB3980">
        <w:t xml:space="preserve"> </w:t>
      </w:r>
      <w:r w:rsidRPr="00AB3980">
        <w:t>lielākajai</w:t>
      </w:r>
      <w:r>
        <w:t xml:space="preserve"> daļai no augsto tehnoloģiju uzņēmumu</w:t>
      </w:r>
      <w:r w:rsidR="00AB3980">
        <w:t xml:space="preserve"> (galvenokārt kosmētikas ražošanā)</w:t>
      </w:r>
      <w:r>
        <w:t>, kas veic arī P&amp;A aktivitātes, laika horizonts, kurā tie spēj prognozēt aktuālās tehnoloģijas pamatā, ir īss — tikai daži gadi, tāpēc uzņēmumi nevar iepriekš izvirzīt šauras, stratēģiskas zināšanu jomas, kurās specializēties zinātnei. Vienlaikus tiem ir identificētas pamata kompetences, kurās tie neparedz ārpakalpojumus un kurās tie ir noteikuši nepieciešamību pēc kvalificētiem cilvēkresursiem, attiecībā uz kuriem palielināt iekšējo P&amp;A kapacitāti. Izņēmums ir farmācija ar gariem P&amp;A ieguldījumu cikliem.</w:t>
      </w:r>
    </w:p>
    <w:p w14:paraId="02F1E09A" w14:textId="77777777" w:rsidR="00432F4F" w:rsidRDefault="00432F4F" w:rsidP="00D818BA">
      <w:pPr>
        <w:pStyle w:val="BulletsF"/>
      </w:pPr>
      <w:r>
        <w:t>Latvijas uzņēmumiem ir ierobežotas P&amp;A&amp;I kapacitātes, tāpēc nozares uzņēmumi nišas ieņem sekmīgi, apvienojot pieejamās P&amp;A&amp;I spējas ar specifiskām mārketinga spējām, tirgus zināšanām un vēsturiskiem piegādes kanāliem.</w:t>
      </w:r>
    </w:p>
    <w:p w14:paraId="144235CF" w14:textId="77777777" w:rsidR="00432F4F" w:rsidRDefault="00432F4F" w:rsidP="00D818BA">
      <w:pPr>
        <w:pStyle w:val="BulletsF"/>
      </w:pPr>
      <w:r>
        <w:lastRenderedPageBreak/>
        <w:t>Latvijas ķīmijas nozares uzņēmumi pamatā ir iesaistīti reģionālās vai starptautiskās piegādes ķēdēs. Latvijā esošās ķēdes neeksistē vai tās ir ļoti seklas</w:t>
      </w:r>
      <w:r>
        <w:rPr>
          <w:rStyle w:val="FootnoteReference"/>
        </w:rPr>
        <w:footnoteReference w:id="35"/>
      </w:r>
      <w:r>
        <w:t xml:space="preserve"> un šauras</w:t>
      </w:r>
      <w:r>
        <w:rPr>
          <w:rStyle w:val="FootnoteReference"/>
        </w:rPr>
        <w:footnoteReference w:id="36"/>
      </w:r>
      <w:r>
        <w:t>.</w:t>
      </w:r>
    </w:p>
    <w:p w14:paraId="435B34C8" w14:textId="2491F16E" w:rsidR="00432F4F" w:rsidRDefault="000E2F1A" w:rsidP="00D818BA">
      <w:pPr>
        <w:pStyle w:val="BulletsF"/>
      </w:pPr>
      <w:r>
        <w:t xml:space="preserve">Labāka materiāla segmentācija, šaurāku nišu meklēšana, kurām ir īsāki produktu adaptācijas laiki vai mazāks regulējums, būtu pareizāka </w:t>
      </w:r>
      <w:r w:rsidR="00162221">
        <w:t xml:space="preserve">nišu ieņemšanas </w:t>
      </w:r>
      <w:r>
        <w:t>stratēģija. Izvērtētas prognozes</w:t>
      </w:r>
      <w:r w:rsidR="00162221" w:rsidRPr="00162221">
        <w:t xml:space="preserve"> </w:t>
      </w:r>
      <w:r w:rsidR="00162221">
        <w:t>attiecībā uz jaunā produkta ekonomisko atdevi, it īpaši uz šīs atdeves laika dimensiju</w:t>
      </w:r>
      <w:r>
        <w:t>, šaurāka un precīzāka segmentācija novedīs pie labāka rezultāta.</w:t>
      </w:r>
    </w:p>
    <w:p w14:paraId="35B1D812" w14:textId="1FF686DD" w:rsidR="00AE1B7E" w:rsidRDefault="00AE1B7E" w:rsidP="00D818BA">
      <w:pPr>
        <w:pStyle w:val="BulletsF"/>
      </w:pPr>
      <w:r>
        <w:t xml:space="preserve">Sekojot pasaules līmeņa tendencēm, Latvijas farmācijas, biotehnoloģiju un medicīnas nozares organizācijas un uzņēmēji interesējas par iespējām attīstīt, pirmkārt, </w:t>
      </w:r>
      <w:r w:rsidR="00AF5AC7">
        <w:t xml:space="preserve">uz videi draudzīgu rīcību orientētus risinājumus, otrkārt, </w:t>
      </w:r>
      <w:r w:rsidR="00545CA9">
        <w:t xml:space="preserve">uz </w:t>
      </w:r>
      <w:r w:rsidR="00C133DC">
        <w:t>pacienta labklā</w:t>
      </w:r>
      <w:r w:rsidR="00C21EB8">
        <w:t xml:space="preserve">jību rīcību (piem., ar Point of Care risinājumiem). </w:t>
      </w:r>
    </w:p>
    <w:p w14:paraId="29A42757" w14:textId="2A1A62FA" w:rsidR="00A42E8B" w:rsidRPr="00EA3C4F" w:rsidRDefault="00D4047F" w:rsidP="00D818BA">
      <w:r w:rsidRPr="00EA3C4F">
        <w:t>Lielakie kosmētikas nozares ražotāji, tostarp</w:t>
      </w:r>
      <w:r w:rsidR="00B8323A">
        <w:t xml:space="preserve"> SIA</w:t>
      </w:r>
      <w:r w:rsidRPr="00EA3C4F">
        <w:t xml:space="preserve"> “Stenders” un</w:t>
      </w:r>
      <w:r w:rsidR="00F023E6">
        <w:t xml:space="preserve"> AS</w:t>
      </w:r>
      <w:r w:rsidRPr="00EA3C4F">
        <w:t xml:space="preserve"> “Madara Cosmetics”, specializējas augstākas kvalitates naturālas kosmētikas ražosanā, kuras cenas ir tuvu </w:t>
      </w:r>
      <w:r w:rsidRPr="00EA3C4F">
        <w:rPr>
          <w:rStyle w:val="Emphasis"/>
        </w:rPr>
        <w:t xml:space="preserve">premium </w:t>
      </w:r>
      <w:r w:rsidR="00A42E8B" w:rsidRPr="00EA3C4F">
        <w:t>segmentam.</w:t>
      </w:r>
    </w:p>
    <w:p w14:paraId="5467C624" w14:textId="05F07D85" w:rsidR="00D4047F" w:rsidRDefault="00D4047F" w:rsidP="00D818BA">
      <w:r w:rsidRPr="00EA3C4F">
        <w:t xml:space="preserve">Farmācijas tirgū ražotāji vairāk fokusejas </w:t>
      </w:r>
      <w:r w:rsidRPr="00EA3C4F">
        <w:rPr>
          <w:shd w:val="clear" w:color="auto" w:fill="auto"/>
        </w:rPr>
        <w:t>uz bezecepšu</w:t>
      </w:r>
      <w:r w:rsidRPr="00EA3C4F">
        <w:t xml:space="preserve"> zāļu ražošanas, kuru īpatsvars pēc iepakojuma skaita ir </w:t>
      </w:r>
      <w:r w:rsidR="009B258C">
        <w:t xml:space="preserve">vidēji </w:t>
      </w:r>
      <w:r w:rsidR="008B6DC2">
        <w:t xml:space="preserve">ap </w:t>
      </w:r>
      <w:r w:rsidR="009B258C">
        <w:t>60%</w:t>
      </w:r>
      <w:r w:rsidRPr="00EA3C4F">
        <w:t xml:space="preserve"> (salīdzinot ar 44% vidēji </w:t>
      </w:r>
      <w:r w:rsidR="00DD6772">
        <w:t xml:space="preserve">pasaules </w:t>
      </w:r>
      <w:r w:rsidRPr="00EA3C4F">
        <w:t xml:space="preserve">tirgū). Apgrozījuma izteiksmē bezrecepšu zāļu īpatsvars Latvijas ražotājiem vietējā tirgū ir 37%, kas ir divreiz augstāks nekā vidēji </w:t>
      </w:r>
      <w:r w:rsidR="00DD6772">
        <w:t xml:space="preserve">pasaules </w:t>
      </w:r>
      <w:r w:rsidRPr="00EA3C4F">
        <w:t>tirgū. Ņemot vērā šo statistiku, Latvijas ražotāju vidējās recepšu zāļu cenas ir nedaudz augstākas nekā kopā tirgū, kas palielina uzņēmumu apgrozījumu un peļņu.</w:t>
      </w:r>
    </w:p>
    <w:p w14:paraId="5D750D0B" w14:textId="77777777" w:rsidR="00D4047F" w:rsidRDefault="00D4047F" w:rsidP="00D4047F">
      <w:r w:rsidRPr="00166122">
        <w:t>Jāņem vērā, ka katrai produktu kategorijai konkurence ir dažāda atkarībā no tirgus lieluma. Piemēram, farmācijā antihistamīniem konkurence ir vislielākā, jo arī tirgus ir lielāks. Tāpēc uzņēmumi cenšas ieņemt nišas, kur tie spēj saņemt lielāku peļņu, lai ieguldītu P&amp;A aktivitātēs.</w:t>
      </w:r>
    </w:p>
    <w:p w14:paraId="4D1C0507" w14:textId="010A608C" w:rsidR="00136A30" w:rsidRPr="00483628" w:rsidRDefault="00483628" w:rsidP="00483628">
      <w:r w:rsidRPr="00483628">
        <w:t>Neskatoties uz relatīvi augstām P&amp;A investīcijām farmācijas, medicīnisko ierīču un kosmētikas nozarēs, kas palīdz uzņēmumiem strauji attīstīties, a</w:t>
      </w:r>
      <w:r w:rsidR="00136A30" w:rsidRPr="00483628">
        <w:t>ugsti tehnoloģiskām nišām trūkst P&amp;A kapacitātes un speciālistu</w:t>
      </w:r>
      <w:r w:rsidR="00136A30">
        <w:t>.</w:t>
      </w:r>
      <w:r>
        <w:t xml:space="preserve"> Tāpēc kompetences centra ietvaros piesaistītie līdzekļi no Eiropas fondiem, kā arī līdzfinansējums, un radītā sadarbība ar pētnieciskajām organizācijām, piesaistot P&amp;A personālu, palīdzēs risināt šo problēmu.</w:t>
      </w:r>
    </w:p>
    <w:p w14:paraId="60A86EAF" w14:textId="64ECC39C" w:rsidR="00895E83" w:rsidRPr="00D81378" w:rsidRDefault="00063AF2" w:rsidP="006F31C1">
      <w:pPr>
        <w:pStyle w:val="Heading3"/>
        <w:numPr>
          <w:ilvl w:val="2"/>
          <w:numId w:val="11"/>
        </w:numPr>
      </w:pPr>
      <w:r>
        <w:t xml:space="preserve">Saimnieciskās darbības </w:t>
      </w:r>
      <w:r w:rsidR="00AA17E8">
        <w:t>veicēju iespējas attīstīt konkurētspējīgas nišas</w:t>
      </w:r>
    </w:p>
    <w:p w14:paraId="38AB1A33" w14:textId="77777777" w:rsidR="00895E83" w:rsidRDefault="00895E83" w:rsidP="00895E83">
      <w:r>
        <w:t xml:space="preserve">Viens no veidiem, kā apskatīt industriju un noteikt tās attīstības perspektīvas, ir apskatīt tās ekspozīciju uz konkurenci attiecībā uz konkurences priekšrocības bāzi </w:t>
      </w:r>
      <w:r>
        <w:rPr>
          <w:rFonts w:cstheme="minorHAnsi"/>
        </w:rPr>
        <w:t>—</w:t>
      </w:r>
      <w:r>
        <w:t xml:space="preserve"> cena vai funkcionalitāte</w:t>
      </w:r>
      <w:r>
        <w:rPr>
          <w:rStyle w:val="FootnoteReference"/>
        </w:rPr>
        <w:footnoteReference w:id="37"/>
      </w:r>
      <w:r>
        <w:t>, kā arī attiecībā uz konkurences ģeogrāfiju — reģionāla vai globāla. Pētniecības un attīstības izmaksām ir tendence pieaugt</w:t>
      </w:r>
      <w:r w:rsidRPr="005F4654">
        <w:t>,</w:t>
      </w:r>
      <w:r>
        <w:t xml:space="preserve"> uzņēmumiem </w:t>
      </w:r>
      <w:r w:rsidRPr="002868FF">
        <w:t>iesaistoties</w:t>
      </w:r>
      <w:r w:rsidRPr="005F4654">
        <w:t xml:space="preserve"> globāl</w:t>
      </w:r>
      <w:r w:rsidRPr="002868FF">
        <w:t>ā</w:t>
      </w:r>
      <w:r w:rsidRPr="005F4654">
        <w:t xml:space="preserve"> konkurenc</w:t>
      </w:r>
      <w:r w:rsidRPr="002868FF">
        <w:t>ē</w:t>
      </w:r>
      <w:r>
        <w:t>. Pārvietojoties pa konkurences asi no cenas uz funkcionalitāti, mainās uzņēmumu P&amp;A&amp;I aktivitāšu daba. Izmaksu līderiem ir raksturīgas procesu inovācijas, savukārt funkcionalitātes līderiem raksturīgas produktu inovācijas. Vienlaikus jāatzīst, ka P&amp;A&amp;I izmaksu pieaugums nav absolūts, t. i., farmācijas nozare visās vietās P&amp;A&amp;I izmaksās krietni pārsniegs kosmētiku.</w:t>
      </w:r>
    </w:p>
    <w:p w14:paraId="1718DC37" w14:textId="048897EC" w:rsidR="00895E83" w:rsidRDefault="00895E83" w:rsidP="00895E83">
      <w:r>
        <w:rPr>
          <w:noProof/>
        </w:rPr>
        <w:lastRenderedPageBreak/>
        <w:fldChar w:fldCharType="begin"/>
      </w:r>
      <w:r>
        <w:instrText xml:space="preserve"> REF _Ref400431544 \h </w:instrText>
      </w:r>
      <w:r>
        <w:rPr>
          <w:noProof/>
        </w:rPr>
      </w:r>
      <w:r>
        <w:rPr>
          <w:noProof/>
        </w:rPr>
        <w:fldChar w:fldCharType="separate"/>
      </w:r>
      <w:r w:rsidR="0066799B">
        <w:t xml:space="preserve">Ilustrācija </w:t>
      </w:r>
      <w:r w:rsidR="0066799B">
        <w:rPr>
          <w:noProof/>
        </w:rPr>
        <w:t>10</w:t>
      </w:r>
      <w:r>
        <w:rPr>
          <w:noProof/>
        </w:rPr>
        <w:fldChar w:fldCharType="end"/>
      </w:r>
      <w:r>
        <w:rPr>
          <w:noProof/>
        </w:rPr>
        <w:t xml:space="preserve"> </w:t>
      </w:r>
      <w:r>
        <w:t>redzama pašreizējā Latvijas ķīmijas nozaru apakšnozaru novērtētā pozīcija šādā griezumā. Ar bultiņām apzīmēts to iespējamais attīstības vektors sekmīgas inovāciju politikas gadījumā. Nozaru un apakšnozaru pozīcija ir noteikta atbilstoši nozaru vadošo uzņēmumu pašvērtējumam saistībā ar to atrašanās vietu attiecībā pret attēlā redzamajām stratēģijas dimensijām.</w:t>
      </w:r>
    </w:p>
    <w:p w14:paraId="2FC4DA9C" w14:textId="77777777" w:rsidR="00895E83" w:rsidRDefault="00895E83" w:rsidP="00895E83">
      <w:r>
        <w:t>Farmācijas un kosmētikas uzņēmumi atrodas tieši pa vidu, kur konkurences fokuss ir sadalīts starp funkcionalitāti un cenu, bet mērķa tirgus ir uz pusi vietējais, uz pusi globālais. Salīdzinot ar citām ķīmijas sektora apakšnozarēm, tām ir vislielākais uzsvērs uz funkcionalitāti, tomēr vidējais fokuss uz eksporta tirgiem. Tas liecina par augstākām produktu inovācijām šajās apakšnozarēs un relatīvi sīvu konkurenci. Jāpiemin, ka farmācijas globālā ekspozīcija ir nedaudz lielāka nekā kosmētikai, savukārt kosmētikas uzsvērs uz funkcionalitāti ir lielākais.</w:t>
      </w:r>
    </w:p>
    <w:p w14:paraId="2E036817" w14:textId="0465392D" w:rsidR="00895E83" w:rsidRDefault="00895E83" w:rsidP="00895E83">
      <w:r>
        <w:t xml:space="preserve">Veiksmīgu inovāciju gadījumā farmācijas nozares ražotāji varētu iekarot vēl vairākus tirgus, palielinot tā ekspozīciju. Tomēr jārēķinās ar vēl augstāku konkurenci, kur </w:t>
      </w:r>
      <w:r w:rsidR="00622BE4">
        <w:t xml:space="preserve">konkurces cīņā var uzvarot </w:t>
      </w:r>
      <w:r>
        <w:t>tieši ar patenbrīvo zāļu</w:t>
      </w:r>
      <w:r w:rsidR="00622BE4">
        <w:t xml:space="preserve"> piedāvāšanu par</w:t>
      </w:r>
      <w:r>
        <w:t xml:space="preserve"> salīdzinoši nelielām cenām, kā arī ar patentētām inovatīvām zālēm. Savu izmēru dēļ Latvijas ražotājiem būs grūti kļūt par izmaksu līderiem. Savukārt kosmētikas nozarē ar inovāciju palīdzību ir iespējams sasniegt inovatoru un zīmolu veidotāju pozīciju. Abām nozarēm attīstību vairāk nosaka produktu inovācijas.</w:t>
      </w:r>
    </w:p>
    <w:p w14:paraId="53BD16E4" w14:textId="54CDBE2F" w:rsidR="00895E83" w:rsidRDefault="00895E83" w:rsidP="00895E83">
      <w:pPr>
        <w:pStyle w:val="Caption"/>
      </w:pPr>
      <w:bookmarkStart w:id="39" w:name="_Ref400431544"/>
      <w:bookmarkStart w:id="40" w:name="_Toc400468676"/>
      <w:bookmarkStart w:id="41" w:name="_Toc400470493"/>
      <w:bookmarkStart w:id="42" w:name="_Toc400470629"/>
      <w:bookmarkStart w:id="43" w:name="_Toc403055233"/>
      <w:r>
        <w:t xml:space="preserve">Ilustrācija </w:t>
      </w:r>
      <w:r w:rsidR="009B704C">
        <w:rPr>
          <w:noProof/>
        </w:rPr>
        <w:fldChar w:fldCharType="begin"/>
      </w:r>
      <w:r w:rsidR="009B704C">
        <w:rPr>
          <w:noProof/>
        </w:rPr>
        <w:instrText xml:space="preserve"> SEQ Ilustrācija \* ARABIC </w:instrText>
      </w:r>
      <w:r w:rsidR="009B704C">
        <w:rPr>
          <w:noProof/>
        </w:rPr>
        <w:fldChar w:fldCharType="separate"/>
      </w:r>
      <w:r w:rsidR="0066799B">
        <w:rPr>
          <w:noProof/>
        </w:rPr>
        <w:t>10</w:t>
      </w:r>
      <w:r w:rsidR="009B704C">
        <w:rPr>
          <w:noProof/>
        </w:rPr>
        <w:fldChar w:fldCharType="end"/>
      </w:r>
      <w:bookmarkEnd w:id="39"/>
      <w:r>
        <w:t>. Latvijas ķīmijas nozares dažādu sektoru dalījums pēc to ekspozīcijas attiecībā uz konkurenci un iespējamais attīstības vektors.</w:t>
      </w:r>
      <w:bookmarkEnd w:id="40"/>
      <w:bookmarkEnd w:id="41"/>
      <w:bookmarkEnd w:id="42"/>
      <w:bookmarkEnd w:id="43"/>
    </w:p>
    <w:p w14:paraId="18240F2F" w14:textId="77777777" w:rsidR="00895E83" w:rsidRDefault="00895E83" w:rsidP="00895E83">
      <w:r w:rsidRPr="0065615B">
        <w:rPr>
          <w:noProof/>
          <w:lang w:eastAsia="lv-LV"/>
        </w:rPr>
        <w:drawing>
          <wp:inline distT="0" distB="0" distL="0" distR="0" wp14:anchorId="4EB032CD" wp14:editId="1B92ADE8">
            <wp:extent cx="4182906" cy="3903784"/>
            <wp:effectExtent l="0" t="0" r="0" b="1905"/>
            <wp:docPr id="28" name="Picture 28" descr="C:\Users\Gundars\Downloads\Darba attēļi - P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Gundars\Downloads\Darba attēļi - Page-1.png"/>
                    <pic:cNvPicPr>
                      <a:picLocks noChangeAspect="1" noChangeArrowheads="1"/>
                    </pic:cNvPicPr>
                  </pic:nvPicPr>
                  <pic:blipFill rotWithShape="1">
                    <a:blip r:embed="rId39" cstate="print">
                      <a:extLst>
                        <a:ext uri="{28A0092B-C50C-407E-A947-70E740481C1C}">
                          <a14:useLocalDpi xmlns:a14="http://schemas.microsoft.com/office/drawing/2010/main" val="0"/>
                        </a:ext>
                      </a:extLst>
                    </a:blip>
                    <a:srcRect t="3653" b="2760"/>
                    <a:stretch/>
                  </pic:blipFill>
                  <pic:spPr bwMode="auto">
                    <a:xfrm>
                      <a:off x="0" y="0"/>
                      <a:ext cx="4187062" cy="3907663"/>
                    </a:xfrm>
                    <a:prstGeom prst="rect">
                      <a:avLst/>
                    </a:prstGeom>
                    <a:noFill/>
                    <a:ln>
                      <a:noFill/>
                    </a:ln>
                    <a:extLst>
                      <a:ext uri="{53640926-AAD7-44D8-BBD7-CCE9431645EC}">
                        <a14:shadowObscured xmlns:a14="http://schemas.microsoft.com/office/drawing/2010/main"/>
                      </a:ext>
                    </a:extLst>
                  </pic:spPr>
                </pic:pic>
              </a:graphicData>
            </a:graphic>
          </wp:inline>
        </w:drawing>
      </w:r>
    </w:p>
    <w:p w14:paraId="3A673632" w14:textId="77777777" w:rsidR="00895E83" w:rsidRDefault="00895E83" w:rsidP="00895E83">
      <w:r>
        <w:t>Jāņem vērā, ka šeit attēlotā situācijā ilustrē uzņēmumu konkurences situāciju attiecībā pret Latviju. Piemēram, „Stenders” atbilstoši savai uzņēmējdarbības stratēģijai vienmēr centīsies būt noteiktā mērogā lokāls attiecībā uz tirgu, kurā tas darbojas. Tāpat kā uzņēmuma „Madara Cosmetics” stratēģija ir būt iespējami lokālam mērķa tirgos.</w:t>
      </w:r>
    </w:p>
    <w:p w14:paraId="780141EB" w14:textId="2672B7C1" w:rsidR="00895E83" w:rsidRPr="00895E83" w:rsidRDefault="00895E83" w:rsidP="00895E83">
      <w:r>
        <w:lastRenderedPageBreak/>
        <w:t>Uzņēmumu konkurences situācijas apraksts balstīts uz vadošo uzņēmumu intervijās sniegto pašnovērtējumu un nozares ekspertu vērtējumu.</w:t>
      </w:r>
      <w:r>
        <w:rPr>
          <w:rStyle w:val="FootnoteReference"/>
        </w:rPr>
        <w:footnoteReference w:id="38"/>
      </w:r>
    </w:p>
    <w:p w14:paraId="26243A56" w14:textId="56727E23" w:rsidR="00E31A44" w:rsidRDefault="001218F5" w:rsidP="00E31A44">
      <w:pPr>
        <w:pStyle w:val="Heading2"/>
      </w:pPr>
      <w:bookmarkStart w:id="44" w:name="_Toc119072222"/>
      <w:r>
        <w:t>Saistītās nozares (</w:t>
      </w:r>
      <w:r w:rsidR="000C04EB">
        <w:t>p</w:t>
      </w:r>
      <w:r w:rsidR="00E31A44" w:rsidRPr="00A34972">
        <w:t>iegāžu ķēžu analīze</w:t>
      </w:r>
      <w:r>
        <w:t>)</w:t>
      </w:r>
      <w:bookmarkEnd w:id="44"/>
    </w:p>
    <w:p w14:paraId="56DEC62A" w14:textId="33BD5272" w:rsidR="00E31A44" w:rsidRDefault="00E31A44" w:rsidP="00E31A44">
      <w:r w:rsidRPr="004D4581">
        <w:t>Farmācijas un kosmētikas nozarēs, kā arī medicīnisko ierīču nozarē liela loma ir piegādes ķēdēm.</w:t>
      </w:r>
      <w:r w:rsidRPr="00551D2A">
        <w:t xml:space="preserve"> </w:t>
      </w:r>
      <w:r>
        <w:t>Latvijas ķīmijas nozares uzņēmumi pamatā ir iesaistīti reģionālās vai starptautiskās piegādes ķēdēs. Latvijā esošās ķēdes neeksistē vai tās ir ļoti seklas</w:t>
      </w:r>
      <w:r>
        <w:rPr>
          <w:rStyle w:val="FootnoteReference"/>
        </w:rPr>
        <w:footnoteReference w:id="39"/>
      </w:r>
      <w:r>
        <w:t xml:space="preserve"> un šauras</w:t>
      </w:r>
      <w:r>
        <w:rPr>
          <w:rStyle w:val="FootnoteReference"/>
        </w:rPr>
        <w:footnoteReference w:id="40"/>
      </w:r>
      <w:r>
        <w:t>.</w:t>
      </w:r>
    </w:p>
    <w:p w14:paraId="3B6519B1" w14:textId="77777777" w:rsidR="00E31A44" w:rsidRDefault="00E31A44" w:rsidP="00E31A44">
      <w:r w:rsidRPr="00503F58">
        <w:t>Latvijā vērtību ķēdes ir īsas</w:t>
      </w:r>
      <w:r>
        <w:t>,</w:t>
      </w:r>
      <w:r w:rsidRPr="00503F58">
        <w:t xml:space="preserve"> un uzņēmumu skaits ir mazs, tāpēc nozīmīgi klasteri dabīgā ceļā nav izveidojušies. </w:t>
      </w:r>
      <w:r>
        <w:t xml:space="preserve">Globālajā konkurētspējas indeksā uzņēmēju aptaujas rezultātos Latvija starp Baltijas valstīm, Poliju un Somiju uzrāda zemāko rādītāju vērtību ķēžu apjomā. Zīmīgi, ka arī Polijā, kuras ekonomika ir aptuveni divdesmit reižu lielāka, tomēr ir salīdzinoši mazs piegādes ķēdes </w:t>
      </w:r>
      <w:r w:rsidRPr="00341024">
        <w:t>dziļums</w:t>
      </w:r>
      <w:r>
        <w:t xml:space="preserve">. Iespējams, tas skaidrojams ar visu šo valstu ražotāju iesaistīšanos citu valstu piegādes ķēdēs. </w:t>
      </w:r>
    </w:p>
    <w:p w14:paraId="30976C60" w14:textId="77777777" w:rsidR="00E31A44" w:rsidRDefault="00E31A44" w:rsidP="00E31A44">
      <w:r>
        <w:t>Atsevišķi farmācijas, kosmētikas, medicīnisko ierīču un saskarnozaru uzņēmumi, kuri ražo starptautiski konkurētspējīgas izejvielas vai materiālus, rada iespējas attīstīties atsevišķiem uzņēmumiem pakārtotajā tirgū.</w:t>
      </w:r>
    </w:p>
    <w:p w14:paraId="3C2566E2" w14:textId="198596A3" w:rsidR="00E31A44" w:rsidRDefault="00E31A44" w:rsidP="00E31A44">
      <w:pPr>
        <w:pStyle w:val="Caption"/>
      </w:pPr>
      <w:r>
        <w:t xml:space="preserve">Ilustrācija </w:t>
      </w:r>
      <w:r w:rsidR="009B704C">
        <w:rPr>
          <w:noProof/>
        </w:rPr>
        <w:fldChar w:fldCharType="begin"/>
      </w:r>
      <w:r w:rsidR="009B704C">
        <w:rPr>
          <w:noProof/>
        </w:rPr>
        <w:instrText xml:space="preserve"> SEQ Ilustrācija \* ARABIC </w:instrText>
      </w:r>
      <w:r w:rsidR="009B704C">
        <w:rPr>
          <w:noProof/>
        </w:rPr>
        <w:fldChar w:fldCharType="separate"/>
      </w:r>
      <w:r w:rsidR="0066799B">
        <w:rPr>
          <w:noProof/>
        </w:rPr>
        <w:t>11</w:t>
      </w:r>
      <w:r w:rsidR="009B704C">
        <w:rPr>
          <w:noProof/>
        </w:rPr>
        <w:fldChar w:fldCharType="end"/>
      </w:r>
      <w:r>
        <w:t>. Farmācijas, kosmētikas un medicīnisko ierīč</w:t>
      </w:r>
      <w:r>
        <w:rPr>
          <w:rStyle w:val="FootnoteReference"/>
        </w:rPr>
        <w:footnoteReference w:id="41"/>
      </w:r>
      <w:r>
        <w:t>u vērtības ķēde.</w:t>
      </w:r>
    </w:p>
    <w:p w14:paraId="01E8B4F0" w14:textId="77777777" w:rsidR="00E31A44" w:rsidRDefault="00E31A44" w:rsidP="00E31A44">
      <w:pPr>
        <w:spacing w:before="0" w:after="0"/>
      </w:pPr>
      <w:r>
        <w:rPr>
          <w:noProof/>
          <w:lang w:eastAsia="lv-LV"/>
        </w:rPr>
        <w:drawing>
          <wp:inline distT="0" distB="0" distL="0" distR="0" wp14:anchorId="285CB0AF" wp14:editId="06F2FB1A">
            <wp:extent cx="4952064" cy="3277210"/>
            <wp:effectExtent l="0" t="0" r="127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976652" cy="3293482"/>
                    </a:xfrm>
                    <a:prstGeom prst="rect">
                      <a:avLst/>
                    </a:prstGeom>
                    <a:noFill/>
                  </pic:spPr>
                </pic:pic>
              </a:graphicData>
            </a:graphic>
          </wp:inline>
        </w:drawing>
      </w:r>
      <w:r>
        <w:t xml:space="preserve"> </w:t>
      </w:r>
    </w:p>
    <w:p w14:paraId="5771FD94" w14:textId="77777777" w:rsidR="00E31A44" w:rsidRDefault="00E31A44" w:rsidP="00E31A44">
      <w:r>
        <w:lastRenderedPageBreak/>
        <w:t>Visas trīs nozares ir globālas, it īpaši izejvielu tirgos valda mēroga ekonomija, tāpēc Latvijas uzņēmumi sava izmēra dēļ izejvielu tirgos nav konkurētspējīgi. Tāpat neliekas ticami šajos tirgos sasniegt ievērojamu konkurētspēju. Tas izslēdz reģionālu piegādes un vērtības ķēžu posmu veidošanos tirgos</w:t>
      </w:r>
      <w:r>
        <w:rPr>
          <w:rStyle w:val="FootnoteReference"/>
        </w:rPr>
        <w:footnoteReference w:id="42"/>
      </w:r>
      <w:r>
        <w:t xml:space="preserve">. Turklāt mazā ekonomikā nav daudz iespēju dažādot piegādes ķēdes, jo piegādātāju skaits ir neliels. </w:t>
      </w:r>
    </w:p>
    <w:p w14:paraId="4B19FEEB" w14:textId="77777777" w:rsidR="00E31A44" w:rsidRPr="002B707F" w:rsidRDefault="00E31A44" w:rsidP="00E31A44">
      <w:r w:rsidRPr="002B707F">
        <w:t>Dabas resursu pieejamība farmācijas, kosmētikas un medicīnisko ierīču un ar to saistītās nozarēs nav izaugsmes šķērslis. Nozare pamatā nav atkarīga no vietējiem dabas resursiem. Industrijai nepieciešamās izejvielas var tikt iegādātas no visas pasaules. Vietējie resursi ir sevišķi nozīmīgi pavisam maziem kosmētikas produktu un farmācijas ražotājiem, kuri orientējas uz bioloģisko produkciju, tomēr arī tie, lai nodrošinātu kvalitāti, lielu daļu ķīmijas produktu importē no lieliem ražotājiem citās valstīs.</w:t>
      </w:r>
    </w:p>
    <w:p w14:paraId="3F555A48" w14:textId="77777777" w:rsidR="00E31A44" w:rsidRPr="00E01DEA" w:rsidRDefault="00E31A44" w:rsidP="00E31A44">
      <w:r w:rsidRPr="00E01DEA">
        <w:t>Latvijā uzņēmumi darbojas aktīvo ķimikāliju tirgū, kurā vislielāko daļu aizņem farmācijas preces, kas 2011. gadā veidoja 68 % no kopējā tīro izejvielu tirgus pasaulē. Paredzams, ka līdz 2016. gadam šī proporcija varētu palielināties līdz 72 %</w:t>
      </w:r>
      <w:r w:rsidRPr="00E01DEA">
        <w:rPr>
          <w:rStyle w:val="FootnoteReference"/>
        </w:rPr>
        <w:footnoteReference w:id="43"/>
      </w:r>
      <w:r w:rsidRPr="00E01DEA">
        <w:t xml:space="preserve">, kas norāda uz farmācijas preču ātrāku pieaugumu nekā pārējām izejvielām. Lai sekotu līdzi globālajam tirgum, Latvijas farmācijas un kosmētikas ražotājiem arī jāuztur konkurētspēja. Kopumā farmācijas nozarē visvairāk tiek ražotas tieši aktīvās ķīmiskās vielas, kā arī zāles. </w:t>
      </w:r>
    </w:p>
    <w:p w14:paraId="48755EFD" w14:textId="16D9D6A1" w:rsidR="00E31A44" w:rsidRDefault="00E31A44" w:rsidP="00E31A44">
      <w:pPr>
        <w:pStyle w:val="Caption"/>
      </w:pPr>
      <w:r>
        <w:t xml:space="preserve">Ilustrācija </w:t>
      </w:r>
      <w:r w:rsidR="009B704C">
        <w:rPr>
          <w:noProof/>
        </w:rPr>
        <w:fldChar w:fldCharType="begin"/>
      </w:r>
      <w:r w:rsidR="009B704C">
        <w:rPr>
          <w:noProof/>
        </w:rPr>
        <w:instrText xml:space="preserve"> SEQ Ilustrācija \* ARABIC </w:instrText>
      </w:r>
      <w:r w:rsidR="009B704C">
        <w:rPr>
          <w:noProof/>
        </w:rPr>
        <w:fldChar w:fldCharType="separate"/>
      </w:r>
      <w:r w:rsidR="0066799B">
        <w:rPr>
          <w:noProof/>
        </w:rPr>
        <w:t>12</w:t>
      </w:r>
      <w:r w:rsidR="009B704C">
        <w:rPr>
          <w:noProof/>
        </w:rPr>
        <w:fldChar w:fldCharType="end"/>
      </w:r>
      <w:r>
        <w:t xml:space="preserve">. </w:t>
      </w:r>
      <w:r w:rsidRPr="001217FC">
        <w:t>Zāļu patēriņa sadalījums pēc galvenajām patērētāju grupām</w:t>
      </w:r>
      <w:r>
        <w:t xml:space="preserve"> 2014. gadā</w:t>
      </w:r>
      <w:r w:rsidRPr="001217FC">
        <w:t xml:space="preserve"> (% no kopējā apgrozījuma eiro)</w:t>
      </w:r>
      <w:r>
        <w:t>. Avots: Valsts zāļu aģentūra.</w:t>
      </w:r>
    </w:p>
    <w:p w14:paraId="59C9D9CA" w14:textId="77777777" w:rsidR="00E31A44" w:rsidRDefault="00E31A44" w:rsidP="00E31A44">
      <w:r>
        <w:rPr>
          <w:noProof/>
          <w:lang w:eastAsia="lv-LV"/>
        </w:rPr>
        <w:drawing>
          <wp:inline distT="0" distB="0" distL="0" distR="0" wp14:anchorId="3297B989" wp14:editId="01B5933E">
            <wp:extent cx="4200525" cy="2486025"/>
            <wp:effectExtent l="0" t="0" r="9525" b="9525"/>
            <wp:docPr id="25" name="Chart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2FB4F7F8" w14:textId="77777777" w:rsidR="00E31A44" w:rsidRDefault="00E31A44" w:rsidP="00E31A44">
      <w:r w:rsidRPr="00E01DEA">
        <w:t>Svarīga loma vērtības ķēdēs ir izplatītājiem</w:t>
      </w:r>
      <w:r>
        <w:t>, kuriem ir liela ietekme uz cenu veidošanas politikā</w:t>
      </w:r>
      <w:r w:rsidRPr="00E01DEA">
        <w:t xml:space="preserve">. </w:t>
      </w:r>
      <w:r>
        <w:t>62% no zālēm tiek pārdota aptiekās, vēl 27% - lieltirgotavās. Ārstniecības iestādes tiek realizēts tikai 9% no medikamentiem. Kosmētikasprodukti tiek realizēti mazumtirdzniecības veikalos.</w:t>
      </w:r>
    </w:p>
    <w:p w14:paraId="4C99B9EA" w14:textId="77777777" w:rsidR="00E31A44" w:rsidRDefault="00E31A44" w:rsidP="00E31A44">
      <w:r w:rsidRPr="00E01DEA">
        <w:t>Saskaņā ar Lursoft datiem</w:t>
      </w:r>
      <w:r w:rsidRPr="00E01DEA">
        <w:rPr>
          <w:rStyle w:val="FootnoteReference"/>
        </w:rPr>
        <w:footnoteReference w:id="44"/>
      </w:r>
      <w:r w:rsidRPr="00E01DEA">
        <w:t xml:space="preserve">, zāļu mazumtirdzniecībā arī pastāv zināmā koncentrācija – 4 lielākām aptieku ķēdēm pieder 56% no tirgus, bet lielākajai no tām – “Mēness aptiekas” ķēdei – 28%. Kopumā aptiekas </w:t>
      </w:r>
      <w:r>
        <w:t>ķēdes veido 68% no apgrozījuma. Starp zāļu lieltirgotājiem koncentrācija arī ir diezgan liela – 4 lielākajiiem pieder puse no tirgus. Tas palielina tirgotāju spēku un samazina farmācijas ražotāju iespēju ietekmēt cenas.</w:t>
      </w:r>
    </w:p>
    <w:p w14:paraId="407E1129" w14:textId="38651826" w:rsidR="00E31A44" w:rsidRDefault="00E31A44" w:rsidP="00E31A44">
      <w:r>
        <w:lastRenderedPageBreak/>
        <w:t xml:space="preserve">Farmācijas un kosmētikas nozarēs ir novērojama vertikālā integrācija, kas ļauj palielināt vietējo tirgus daļu. Farmācijas nozarē, piemēram, lielākie ražotāji nodarbojas ar zāļu vairumtirdzniecību un mazumtirdzniecību. AS “Grindeks” ir 12. lielākais lieltirgotājs pēc 2014. gada datiem ar 16,4 milj. eiro apgrozījumu šajā nozarē. Savukārt AS “Olainfarm” pieder 6. lielākais aptieku tīkls </w:t>
      </w:r>
      <w:r w:rsidR="000C04EB">
        <w:t xml:space="preserve">SIA </w:t>
      </w:r>
      <w:r>
        <w:t xml:space="preserve">“Latvijas Aptieka” ar 14,8 milj. eiro apgrozījumu, kas dod iespēju realizēt 20% no produkcijas Latvijā. Kosmētikas nozarē savukārt ir populāri paša zīmola veikali, kā </w:t>
      </w:r>
      <w:r w:rsidR="000C04EB">
        <w:t xml:space="preserve">AS </w:t>
      </w:r>
      <w:r>
        <w:t xml:space="preserve">“Madara Cosmetics”, </w:t>
      </w:r>
      <w:r w:rsidR="000C04EB">
        <w:t xml:space="preserve">SIA </w:t>
      </w:r>
      <w:r>
        <w:t>“Stender</w:t>
      </w:r>
      <w:r w:rsidR="000E23F6">
        <w:t>s</w:t>
      </w:r>
      <w:r>
        <w:t>”, kā arī lielākajam nozare ražotājam AS “Dzintar</w:t>
      </w:r>
      <w:r w:rsidR="000E23F6">
        <w:t>s</w:t>
      </w:r>
      <w:r>
        <w:t>”.</w:t>
      </w:r>
    </w:p>
    <w:p w14:paraId="3F6532DA" w14:textId="04848826" w:rsidR="00E31A44" w:rsidRDefault="00E31A44" w:rsidP="00E31A44">
      <w:r w:rsidRPr="00E01DEA">
        <w:t>Zāļu realizācija kopumā pieaug. Saskaņā ar Valsts zāļu aģentūru, 2014. gadā tika realizētas zāles ar 319 milj. eiro vērtību, kas ir par ceturtdaļu vairāk nekā 2007.</w:t>
      </w:r>
      <w:r w:rsidR="00D36242">
        <w:t xml:space="preserve"> </w:t>
      </w:r>
      <w:r w:rsidRPr="00E01DEA">
        <w:t>gadā.</w:t>
      </w:r>
      <w:r w:rsidRPr="00E01DEA">
        <w:rPr>
          <w:rStyle w:val="FootnoteReference"/>
        </w:rPr>
        <w:footnoteReference w:id="45"/>
      </w:r>
      <w:r w:rsidRPr="00E01DEA">
        <w:t xml:space="preserve"> Tajā pašā laikā iepakojumu skaits samazinājās par tādu pašu proporciju, novedot pie vidējā iepakojuma cenas</w:t>
      </w:r>
      <w:r>
        <w:t xml:space="preserve"> kāpuma par 2/3. Tas var būt saistīts ar smagāk slimojošo pacientu palielinājumu, kuru zāles ir dārgākas. Savukārt kompensējamo medikamentu līdzekļi palielinājās tikai par trešdaļu un veido ap 37% no zāļu apgrozījuma. Tas nozīmē, ka arvien vairāk patērētājiem ir jāmaksā no pašās kabatas, kas ar augošām zāļu cenām kļūst arvien grūtāk. Tāpēc patērētāji pievērš vairāk uzmanības cenai bezrecepšu vai vieglas ietekmes recepšu zālēm, kas padara ražotāju konkurenci sīvāku.</w:t>
      </w:r>
    </w:p>
    <w:p w14:paraId="547D8499" w14:textId="01BC9E5F" w:rsidR="00A34972" w:rsidRDefault="00A34972" w:rsidP="00B900DC">
      <w:pPr>
        <w:pStyle w:val="Heading2"/>
      </w:pPr>
      <w:bookmarkStart w:id="45" w:name="_Toc119072223"/>
      <w:r w:rsidRPr="00A34972">
        <w:t>Nākotnes perspekt</w:t>
      </w:r>
      <w:r w:rsidR="00162221">
        <w:t>īvākie segmenti globālajā tirgū</w:t>
      </w:r>
      <w:bookmarkEnd w:id="45"/>
    </w:p>
    <w:p w14:paraId="465784DE" w14:textId="0FE61A8C" w:rsidR="00B96738" w:rsidRDefault="00B96738" w:rsidP="00B96738">
      <w:r w:rsidRPr="001C181C">
        <w:t>Nākotnes attīstība farmācijas, medicīnisko ierīču un farmācijas nozarē ir nišu produkti globālā tirgū.</w:t>
      </w:r>
      <w:r>
        <w:t xml:space="preserve"> Uzņēmumu līdzšinējā pieredze ir tos sagatavojusi funkcionālu nišu identificēšanai un nišu produktu attīstīšanai. Ķīmijas nozares specifika ļauj īstenot apjomu palielināšanu uz ģeogrāfiskā mēroga rēķina, vienlaikus saglabājot šauru fokusu uz šaurām funkcionālām nišām. Ir nepieciešama efektīvāka ģeogrāfiski plašāka tirgus aptveršana. Nozaru produktiem ģeogrāfiskie piegādes ierobežojumi nav nozīmīgi</w:t>
      </w:r>
      <w:r w:rsidR="00A52C0E">
        <w:t>.</w:t>
      </w:r>
    </w:p>
    <w:p w14:paraId="26910095" w14:textId="77777777" w:rsidR="00B96738" w:rsidRPr="001C181C" w:rsidRDefault="00B96738" w:rsidP="00B96738">
      <w:r>
        <w:t>Galvenās tirgus iespējas:</w:t>
      </w:r>
    </w:p>
    <w:p w14:paraId="23D015FE" w14:textId="75F39825" w:rsidR="00B96738" w:rsidRPr="00EA3C4F" w:rsidRDefault="00B96738" w:rsidP="00B96738">
      <w:pPr>
        <w:pStyle w:val="BulletsF"/>
        <w:jc w:val="left"/>
        <w:rPr>
          <w:b/>
        </w:rPr>
      </w:pPr>
      <w:r>
        <w:rPr>
          <w:b/>
        </w:rPr>
        <w:t xml:space="preserve">Globalizācija un e-komercija. </w:t>
      </w:r>
      <w:r>
        <w:t xml:space="preserve">Globālās loģistikas attīstība, e-komercijas attīstība un dalība Eiropas Savienībā ļauj aptvert ģeogrāfiski un demogrāfiski lielus tirgus un gūt ievērojamus ienākumus arī no ļoti šauri specializētiem patēriņa preču tirgus segmentiem. Nišu dalībniekiem ir palielinātas iespējas būtiski </w:t>
      </w:r>
      <w:r w:rsidRPr="00341024">
        <w:t>kāpināt</w:t>
      </w:r>
      <w:r>
        <w:t xml:space="preserve"> apjomu.</w:t>
      </w:r>
      <w:r w:rsidR="00E41DF8">
        <w:t xml:space="preserve"> Produktu pielāgošana dažādiem tirgiem ir būtiskākais veiksmes faktors.</w:t>
      </w:r>
    </w:p>
    <w:p w14:paraId="00E87E27" w14:textId="59411EC8" w:rsidR="00B96738" w:rsidRDefault="00E41DF8" w:rsidP="00B96738">
      <w:pPr>
        <w:pStyle w:val="BulletsF"/>
      </w:pPr>
      <w:r>
        <w:t xml:space="preserve">Lai paliktu konkurētspējīgiem, tirgus iespējas un prasības vienlacīg viecina ražotājus </w:t>
      </w:r>
      <w:r w:rsidRPr="00E41DF8">
        <w:rPr>
          <w:b/>
        </w:rPr>
        <w:t>p</w:t>
      </w:r>
      <w:r w:rsidR="00B96738" w:rsidRPr="00E41DF8">
        <w:rPr>
          <w:b/>
        </w:rPr>
        <w:t>alielināt inovāciju apjomu, palielinot nišu produktu pievienoto vērtību, pārorientējoties uz tehnoloģiski sarežģītākiem produktiem</w:t>
      </w:r>
      <w:r w:rsidR="008422F8">
        <w:t>.</w:t>
      </w:r>
    </w:p>
    <w:p w14:paraId="2305F803" w14:textId="1CEADBCA" w:rsidR="00B96738" w:rsidRPr="00B96738" w:rsidRDefault="00B96738" w:rsidP="00B96738">
      <w:pPr>
        <w:pStyle w:val="BulletsF"/>
      </w:pPr>
      <w:r>
        <w:rPr>
          <w:b/>
        </w:rPr>
        <w:t>E</w:t>
      </w:r>
      <w:r w:rsidRPr="00435762">
        <w:rPr>
          <w:b/>
        </w:rPr>
        <w:t>fektīvāk aptvert plašākus tirgus</w:t>
      </w:r>
      <w:r>
        <w:rPr>
          <w:b/>
        </w:rPr>
        <w:t>,</w:t>
      </w:r>
      <w:r>
        <w:t xml:space="preserve"> izmantojot globalizāciju un inovatīvus nišu produktus, tādējādi būtiski kāpinot apjomus, paliekot specializētās nišās.</w:t>
      </w:r>
    </w:p>
    <w:p w14:paraId="39D6F4F0" w14:textId="43FDEBD9" w:rsidR="00827CBF" w:rsidRPr="00B06515" w:rsidRDefault="00827CBF" w:rsidP="006F31C1">
      <w:pPr>
        <w:pStyle w:val="Heading3"/>
        <w:numPr>
          <w:ilvl w:val="2"/>
          <w:numId w:val="12"/>
        </w:numPr>
        <w:rPr>
          <w:rStyle w:val="Heading3Char"/>
          <w:b/>
          <w:shd w:val="clear" w:color="auto" w:fill="FFFFFF"/>
        </w:rPr>
      </w:pPr>
      <w:r w:rsidRPr="00B900DC">
        <w:lastRenderedPageBreak/>
        <w:t xml:space="preserve">Farmācijas nozares </w:t>
      </w:r>
      <w:r w:rsidR="00B96738" w:rsidRPr="00B900DC">
        <w:t xml:space="preserve">perspektīvākie </w:t>
      </w:r>
      <w:r w:rsidR="00AD3DF0" w:rsidRPr="00B900DC">
        <w:t>segmenti</w:t>
      </w:r>
      <w:r w:rsidR="00B96738" w:rsidRPr="00B900DC">
        <w:t xml:space="preserve"> un ar to saistītās tirgus </w:t>
      </w:r>
      <w:r w:rsidR="00B96738" w:rsidRPr="00B06515">
        <w:rPr>
          <w:rStyle w:val="Heading3Char"/>
          <w:b/>
          <w:shd w:val="clear" w:color="auto" w:fill="FFFFFF"/>
        </w:rPr>
        <w:t>prasības</w:t>
      </w:r>
    </w:p>
    <w:p w14:paraId="05C5309A" w14:textId="62EC9FBA" w:rsidR="004758A9" w:rsidRPr="004758A9" w:rsidRDefault="004758A9" w:rsidP="00827CBF">
      <w:pPr>
        <w:rPr>
          <w:bCs/>
        </w:rPr>
      </w:pPr>
      <w:r>
        <w:rPr>
          <w:b/>
          <w:bCs/>
        </w:rPr>
        <w:t xml:space="preserve">Patentbrīvo medikamentu nišas attīstība </w:t>
      </w:r>
      <w:r>
        <w:rPr>
          <w:bCs/>
        </w:rPr>
        <w:t>ir viena no lielajām tirgus iespējam sakarā ar patenta krauju. Lētākas alternatīvas kļūst arvien pieprasītākas, kas tomēr rada papildus cenu konkurenci ražotājiem, radot nepieciešamību turpmāk samazināt izmaksas. Zaļo un dabisko produktu ražošana arī kļūst arvien populārāka, arī tāpēc ka tie rada alternatīvu tradicionālām zālēm. Latvijas farmācijas ražotāji specializējas tieši bezrecepšu zāļu ražošanā, kā arī dabisko vielu izmantošana farmācijas produktos.</w:t>
      </w:r>
    </w:p>
    <w:p w14:paraId="49A52677" w14:textId="754F7EED" w:rsidR="00F84E2E" w:rsidRDefault="00827CBF" w:rsidP="00827CBF">
      <w:r w:rsidRPr="6324B6F5">
        <w:rPr>
          <w:b/>
          <w:bCs/>
        </w:rPr>
        <w:t xml:space="preserve">Mākoņskaitļošanā bāzēta jaunu zāļu meklēšana kļūst par vienu no </w:t>
      </w:r>
      <w:r>
        <w:rPr>
          <w:b/>
          <w:bCs/>
        </w:rPr>
        <w:t>visvairāk apspriestajiem</w:t>
      </w:r>
      <w:r w:rsidRPr="6324B6F5">
        <w:rPr>
          <w:b/>
          <w:bCs/>
        </w:rPr>
        <w:t xml:space="preserve"> un aktuālākajiem tematiem farmācijas industrijā</w:t>
      </w:r>
      <w:r w:rsidRPr="00413932">
        <w:rPr>
          <w:b/>
        </w:rPr>
        <w:t>.</w:t>
      </w:r>
      <w:r>
        <w:t xml:space="preserve"> Šādas zāļu meklēšanas mērķis ir noteikt, vai esošajām aktīvajām vielām, kurām ir veikti visi klīniskie testi, iespējams jauns, līdz šim nekonstatēts terapeitisks izmantojums. Pieejamās </w:t>
      </w:r>
      <w:r w:rsidRPr="00457BBF">
        <w:t>skaitļošanas jaudas un jaunie</w:t>
      </w:r>
      <w:r>
        <w:t xml:space="preserve"> algoritmi ļauj virtuālā vidē simulēt dažādu esošu savienojumu potenciālo mijiedarbību ar bioloģiskām sistēmām. Šādas simulācijas mērķis ir ar salīdzinoši nelielām izmaksām un lielu efektivitāti sašaurināt iespējamo zāļu kandidātu sarakstu līdz tādam daudzumam, ar kuru var veikt jau klasiskus eksperimentus, kas ir ievērojami dārgāki un laikietilpīgāki. Jaunu zāļu kandidātu atrašanai apstrādājamās informācijas apjoms ir tik liels, ka metode pielietojama tikai ar mākoņskaitļošanā pieejamajām skaitļošanas jaudām. Metodes pievilcība slēpjas apstāklī, ka šādā veidā tiek rasts izmantojums zālēm, kam ir veikti klīniskie testi un par kuru toksiskumu u. c. īpašībām ir pieejama pilnīga informācija. Potenciālais finanšu ieguvums tiek lēsts kā izmaksu ekonomija līdz 30 reizēm, salīdzinot ar tradicionālajām metodēm</w:t>
      </w:r>
      <w:r>
        <w:rPr>
          <w:rStyle w:val="FootnoteReference"/>
        </w:rPr>
        <w:footnoteReference w:id="46"/>
      </w:r>
      <w:r w:rsidR="00F84E2E">
        <w:t>.</w:t>
      </w:r>
    </w:p>
    <w:p w14:paraId="4A5784B9" w14:textId="3FB34A29" w:rsidR="00F84E2E" w:rsidRDefault="00F84E2E" w:rsidP="00F84E2E">
      <w:pPr>
        <w:pStyle w:val="Caption"/>
      </w:pPr>
      <w:r>
        <w:t xml:space="preserve">Ilustrācija </w:t>
      </w:r>
      <w:r w:rsidR="009B704C">
        <w:rPr>
          <w:noProof/>
        </w:rPr>
        <w:fldChar w:fldCharType="begin"/>
      </w:r>
      <w:r w:rsidR="009B704C">
        <w:rPr>
          <w:noProof/>
        </w:rPr>
        <w:instrText xml:space="preserve"> SEQ Ilustrācija \* ARABIC </w:instrText>
      </w:r>
      <w:r w:rsidR="009B704C">
        <w:rPr>
          <w:noProof/>
        </w:rPr>
        <w:fldChar w:fldCharType="separate"/>
      </w:r>
      <w:r w:rsidR="0066799B">
        <w:rPr>
          <w:noProof/>
        </w:rPr>
        <w:t>13</w:t>
      </w:r>
      <w:r w:rsidR="009B704C">
        <w:rPr>
          <w:noProof/>
        </w:rPr>
        <w:fldChar w:fldCharType="end"/>
      </w:r>
      <w:r>
        <w:t>. Jaunas zāļu iedarbības un jaunu zāļu meklēšanas aktualitāte (Avots; Google.com)</w:t>
      </w:r>
      <w:r>
        <w:rPr>
          <w:rStyle w:val="FootnoteReference"/>
        </w:rPr>
        <w:footnoteReference w:id="47"/>
      </w:r>
    </w:p>
    <w:p w14:paraId="1A8B7930" w14:textId="77777777" w:rsidR="00F84E2E" w:rsidRDefault="00F84E2E" w:rsidP="00F84E2E">
      <w:pPr>
        <w:pStyle w:val="Chart"/>
      </w:pPr>
      <w:r w:rsidRPr="00BA0B36">
        <w:drawing>
          <wp:inline distT="0" distB="0" distL="0" distR="0" wp14:anchorId="73B4E0F4" wp14:editId="7D26EB85">
            <wp:extent cx="4562475" cy="273367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4562475" cy="2733675"/>
                    </a:xfrm>
                    <a:prstGeom prst="rect">
                      <a:avLst/>
                    </a:prstGeom>
                    <a:noFill/>
                    <a:ln>
                      <a:noFill/>
                    </a:ln>
                  </pic:spPr>
                </pic:pic>
              </a:graphicData>
            </a:graphic>
          </wp:inline>
        </w:drawing>
      </w:r>
      <w:r>
        <w:t>.</w:t>
      </w:r>
    </w:p>
    <w:p w14:paraId="49CF9D10" w14:textId="282A1561" w:rsidR="00F84E2E" w:rsidRDefault="00827CBF" w:rsidP="00827CBF">
      <w:r>
        <w:lastRenderedPageBreak/>
        <w:t xml:space="preserve">Šīs metodes relatīvi neseno vēsturi labi demonstrē </w:t>
      </w:r>
      <w:r w:rsidRPr="6324B6F5">
        <w:rPr>
          <w:i/>
          <w:iCs/>
        </w:rPr>
        <w:t>Google</w:t>
      </w:r>
      <w:r>
        <w:t xml:space="preserve"> tendenču grafiks, kas liecina, ka faktiski šī tendence sākusies vienlaikus ar lielu mākoņskaitļošanas jaudu parādīšanos. Organizācijas </w:t>
      </w:r>
      <w:r w:rsidRPr="6324B6F5">
        <w:rPr>
          <w:i/>
          <w:iCs/>
        </w:rPr>
        <w:t>National Institutes of Health (NIH) National Center for Advancing Translational Sciences (NCATS)</w:t>
      </w:r>
      <w:r>
        <w:t xml:space="preserve"> 2012. gada maijā uzsāka iniciatīvu jaunu zāļu meklēšanai. Lielās farmaceitiskās kompānijas </w:t>
      </w:r>
      <w:r>
        <w:rPr>
          <w:rFonts w:cstheme="minorHAnsi"/>
        </w:rPr>
        <w:t>—</w:t>
      </w:r>
      <w:r>
        <w:t xml:space="preserve"> </w:t>
      </w:r>
      <w:r w:rsidRPr="6324B6F5">
        <w:rPr>
          <w:i/>
          <w:iCs/>
        </w:rPr>
        <w:t>Pfizer, AstraZeneca, Eli Lilly</w:t>
      </w:r>
      <w:r>
        <w:t xml:space="preserve"> u. c. </w:t>
      </w:r>
      <w:r>
        <w:rPr>
          <w:rFonts w:cstheme="minorHAnsi"/>
        </w:rPr>
        <w:t xml:space="preserve">— </w:t>
      </w:r>
      <w:r>
        <w:t>ir to uzņēmumu vidū, kas piedalās šajā iniciatīvā ar molekulām vai zālēm, ko tās ir izstrādājušas</w:t>
      </w:r>
      <w:r>
        <w:rPr>
          <w:rStyle w:val="FootnoteReference"/>
        </w:rPr>
        <w:footnoteReference w:id="48"/>
      </w:r>
      <w:r>
        <w:t>.</w:t>
      </w:r>
    </w:p>
    <w:p w14:paraId="067F7F25" w14:textId="79B5AD8B" w:rsidR="00827CBF" w:rsidRPr="00D75779" w:rsidRDefault="00827CBF" w:rsidP="00827CBF">
      <w:pPr>
        <w:rPr>
          <w:i/>
        </w:rPr>
      </w:pPr>
      <w:r>
        <w:t xml:space="preserve">Šī relatīvi jaunā parādība, iespējams, ir iemesls tam, kāpēc Latvijas vadošā pētniecības organizācija OSI ir skeptiski noskaņota attiecībā par šādas metodes priekšrocībām un perspektīvu. Vienlaikus, gadījumā, ja šīs tehnoloģijas solījums </w:t>
      </w:r>
      <w:r>
        <w:rPr>
          <w:rFonts w:cstheme="minorHAnsi"/>
        </w:rPr>
        <w:t>—</w:t>
      </w:r>
      <w:r>
        <w:t xml:space="preserve"> būtiska jaunu zāļu atrašanas cenas samazināšana, tiek izpildīts, tā ir iespēja Latvijas industrijai piedalīties oriģinālzāļu izstrādē. Bioinformātikas</w:t>
      </w:r>
      <w:r>
        <w:rPr>
          <w:rStyle w:val="FootnoteReference"/>
        </w:rPr>
        <w:footnoteReference w:id="49"/>
      </w:r>
      <w:r>
        <w:t xml:space="preserve"> nozare, kas ir šīs tehnoloģijas pamatā, ir iespēja attālināti izmantot pētniecības infrastruktūru (datoru mākoņus) un relatīvi zem</w:t>
      </w:r>
      <w:r w:rsidR="00F84E2E">
        <w:t>a</w:t>
      </w:r>
      <w:r>
        <w:t xml:space="preserve">s sākotnējo investīciju izmaksas, kas ļauj pārvarēt Latvijas objektīvajos ierobežojumus </w:t>
      </w:r>
      <w:r w:rsidRPr="002868FF">
        <w:t>—</w:t>
      </w:r>
      <w:r>
        <w:t xml:space="preserve"> ierobežotu budžetu un attālumu no lielākajiem ģeogrāfisko tehnoloģiju centriem.</w:t>
      </w:r>
    </w:p>
    <w:p w14:paraId="101B481D" w14:textId="77777777" w:rsidR="00827CBF" w:rsidRDefault="00827CBF" w:rsidP="00827CBF">
      <w:r w:rsidRPr="00B0731E">
        <w:t xml:space="preserve">Patentu kraujas rezultātā </w:t>
      </w:r>
      <w:r w:rsidRPr="00B0731E">
        <w:rPr>
          <w:rStyle w:val="Strong"/>
        </w:rPr>
        <w:t>lielie farmācijas uzņēmumi</w:t>
      </w:r>
      <w:r w:rsidRPr="00B0731E">
        <w:t xml:space="preserve"> samazina savas P&amp;A&amp;I vienības un izmaksas, </w:t>
      </w:r>
      <w:r w:rsidRPr="00B0731E">
        <w:rPr>
          <w:rStyle w:val="Strong"/>
        </w:rPr>
        <w:t>cenšoties P&amp;A pakalpojumus izmantot kā ārpakalpojumus</w:t>
      </w:r>
      <w:r>
        <w:t>. Lielo farmācijas uzņēmumu aizvien aktīvāka ārpakalpojumu izmantošana rada iespējas Latvijas uzņēmumiem un pētniecības organizācijām, tai skaitā OSI.</w:t>
      </w:r>
    </w:p>
    <w:p w14:paraId="01AA3D3B" w14:textId="71E68698" w:rsidR="00827CBF" w:rsidRDefault="00827CBF" w:rsidP="00827CBF">
      <w:r w:rsidRPr="00B0731E">
        <w:rPr>
          <w:rStyle w:val="Strong"/>
        </w:rPr>
        <w:t>Būtiski pieaug personālās medicīnas nozīme</w:t>
      </w:r>
      <w:r>
        <w:t>, aizvien vairāk tiek izmantota gēnu sekvencēšana un uzkrātas zināšanas par to, kā dažādi preparāti iedarbojas uz dažādiem gēnu tipiem. Tas samazina zāļu ražošanas mērogu. Neliela mēroga individualizēta medicīna atsevišķās nišās var izlīdzināt iespējas starp mazākiem un lieliem uzņēmumiem.</w:t>
      </w:r>
      <w:r w:rsidR="00784097">
        <w:t xml:space="preserve"> Augsta fleksibilitāte ir pieprasīta no uzņēmumiem, lai pielāgotos pacienta vajadzībām, kas ir viena no Latvijas ražotāju stipr</w:t>
      </w:r>
      <w:r w:rsidR="00530D21">
        <w:t xml:space="preserve">ajām </w:t>
      </w:r>
      <w:r w:rsidR="00784097">
        <w:t>pusēm.</w:t>
      </w:r>
    </w:p>
    <w:p w14:paraId="7AFBB8DA" w14:textId="77777777" w:rsidR="00827CBF" w:rsidRDefault="00827CBF" w:rsidP="00827CBF">
      <w:r>
        <w:t>Visātrāk augošās terapijas klases ir onkoloģija, pretsāpju līdzekļi, diabēts, ādas slimības, kā arī autoimūnās saslimšanas.</w:t>
      </w:r>
    </w:p>
    <w:p w14:paraId="25EF7AC9" w14:textId="48843868" w:rsidR="00827CBF" w:rsidRPr="00D81378" w:rsidRDefault="00AD3DF0" w:rsidP="00B900DC">
      <w:pPr>
        <w:pStyle w:val="Heading3"/>
      </w:pPr>
      <w:r>
        <w:t>K</w:t>
      </w:r>
      <w:r w:rsidR="00827CBF" w:rsidRPr="00D81378">
        <w:t>osmētik</w:t>
      </w:r>
      <w:r>
        <w:t xml:space="preserve">as nozares </w:t>
      </w:r>
      <w:r w:rsidR="00B96738">
        <w:t xml:space="preserve">perspektīvākie </w:t>
      </w:r>
      <w:r>
        <w:t>segmenti</w:t>
      </w:r>
      <w:r w:rsidR="00B96738">
        <w:t xml:space="preserve"> un ar to saistītās tirgus prasības</w:t>
      </w:r>
    </w:p>
    <w:p w14:paraId="7EFDE207" w14:textId="77777777" w:rsidR="00B96738" w:rsidRDefault="00B96738" w:rsidP="00827CBF">
      <w:pPr>
        <w:rPr>
          <w:b/>
        </w:rPr>
      </w:pPr>
      <w:r>
        <w:rPr>
          <w:b/>
        </w:rPr>
        <w:t xml:space="preserve">Pateicoties globalizācijai, </w:t>
      </w:r>
      <w:r w:rsidRPr="00B96738">
        <w:t>kosmētikas ražotājiem izdodas iekarot arvien jaunus ģeogrāfiskos tirgus. Tostarp arī Latvijas ražotājiem, it īpaši “Madara Cosmetics”un “Stenders” izdodas eksportēt savu produkciju uz vairākām valstīm dažādos pasaules galos. Tomēr tas rada divas pamata prasības.</w:t>
      </w:r>
    </w:p>
    <w:p w14:paraId="6F462C23" w14:textId="7249742E" w:rsidR="00827CBF" w:rsidRDefault="00827CBF" w:rsidP="00827CBF">
      <w:r w:rsidRPr="00A97983">
        <w:rPr>
          <w:b/>
        </w:rPr>
        <w:t xml:space="preserve">Multikulturālisms ir </w:t>
      </w:r>
      <w:r w:rsidR="00B96738">
        <w:rPr>
          <w:b/>
        </w:rPr>
        <w:t xml:space="preserve">viena no </w:t>
      </w:r>
      <w:r w:rsidRPr="00A97983">
        <w:rPr>
          <w:b/>
        </w:rPr>
        <w:t>pie</w:t>
      </w:r>
      <w:r w:rsidR="00B96738">
        <w:rPr>
          <w:b/>
        </w:rPr>
        <w:t>augošām</w:t>
      </w:r>
      <w:r w:rsidRPr="00A97983">
        <w:rPr>
          <w:b/>
        </w:rPr>
        <w:t xml:space="preserve"> tirgus prasīb</w:t>
      </w:r>
      <w:r w:rsidR="00B96738">
        <w:rPr>
          <w:b/>
        </w:rPr>
        <w:t>ām</w:t>
      </w:r>
      <w:r w:rsidRPr="00A97983">
        <w:rPr>
          <w:b/>
        </w:rPr>
        <w:t>.</w:t>
      </w:r>
      <w:r>
        <w:t xml:space="preserve"> Globalizācija un pieaugošā attīstības valstu tirgu nozīme liek uzņēmumiem koncentrēties uz dažādu klientu kultūras piederību. Produkti jāpielāgo atšķirīgu klientu vajadzībām, tai skaitā klientiem, kuri nepieder rietumu kultūrai un uzvedības modeļiem. Visstraujāk augošie kosmētikas tirgi ir Āzija un Latīņamerika, tādējādi ir nepieciešamas prasmes, kontakti un šiem tirgiem pielāgoti produkti.</w:t>
      </w:r>
    </w:p>
    <w:p w14:paraId="22A82870" w14:textId="710AA849" w:rsidR="00827CBF" w:rsidRDefault="00B96738" w:rsidP="00827CBF">
      <w:r w:rsidRPr="00B96738">
        <w:lastRenderedPageBreak/>
        <w:t>Otrā prasība nosaka to</w:t>
      </w:r>
      <w:r>
        <w:rPr>
          <w:b/>
        </w:rPr>
        <w:t>, ka ā</w:t>
      </w:r>
      <w:r w:rsidR="00827CBF" w:rsidRPr="00A97983">
        <w:rPr>
          <w:b/>
        </w:rPr>
        <w:t>das tipiem piesaistīti produkti vairs nav piesaistīti vienai ģeogrāfiskai vietai.</w:t>
      </w:r>
      <w:r w:rsidR="00827CBF">
        <w:t xml:space="preserve"> Mūsdienu cilvēki aizvien vairāk ir dažādu rasu sajaukums un dzīvo ne savās tradicionālajās mītnes zemēs, tāpēc tie produkti, kuri ir atkarīgi no dažādiem</w:t>
      </w:r>
      <w:r w:rsidR="00827CBF" w:rsidRPr="00BC2B76">
        <w:t xml:space="preserve"> atšķirīgām</w:t>
      </w:r>
      <w:r w:rsidR="00827CBF">
        <w:t xml:space="preserve"> rasēm piemērotiem ādas tipiem</w:t>
      </w:r>
      <w:r w:rsidR="00827CBF" w:rsidRPr="00BC2B76">
        <w:t>,</w:t>
      </w:r>
      <w:r w:rsidR="00827CBF">
        <w:t xml:space="preserve"> kļūst globālāki. </w:t>
      </w:r>
      <w:r w:rsidR="00827CBF" w:rsidRPr="00BC2B76">
        <w:t xml:space="preserve">Mūsdienu pasauli raksturo </w:t>
      </w:r>
      <w:r w:rsidR="00827CBF" w:rsidRPr="002868FF">
        <w:t>g</w:t>
      </w:r>
      <w:r w:rsidR="00827CBF" w:rsidRPr="00BC2B76">
        <w:t>lobalizācija</w:t>
      </w:r>
      <w:r w:rsidR="00827CBF">
        <w:t xml:space="preserve"> un rasu sajaukšanās. Robežšķirtnes starp rasēm, izskatu un ģeogrāfisko tirgu kļūst arvien mazāk izteiktas. It īpaši attīstīto valstu tirgos vairs nav iespējams uzskatīt, ka pastāv viens dominējošs ādas tips. Produktu specializācija attiecībā uz konkrētiem ādas tipiem ir viens no produktu diferenciācijas veidiem. Šajā kontekstā jāņem vērā, ka ražotājam jāspēj klientu vadīt pareizās izvēles virzienā.</w:t>
      </w:r>
    </w:p>
    <w:p w14:paraId="28241ED7" w14:textId="6CA87982" w:rsidR="00827CBF" w:rsidRDefault="00827CBF" w:rsidP="00827CBF">
      <w:r w:rsidRPr="00A97983">
        <w:rPr>
          <w:b/>
        </w:rPr>
        <w:t>E-komercijas uzvaras gājiens, tiešsaistes lielākais izaugsmes tirgus.</w:t>
      </w:r>
      <w:r>
        <w:t xml:space="preserve"> Palielinoties produktu dažādībai un specializācijai, tiešsaiste un internets kļūst par noteicošo kanālu produktu izvēlei, piegādei un komunikācijai ar klientu, tostarp klienta virzīšanā uz tam piemērotāko produktu. Neskatoties uz globalizāciju, saskarsme ar klientu kļūst aizvien tiešāka, izmantojot sociālo tīklus. Tas rada jaunas vajadzības pēc multikulturālisma arī interneta vidē un prasa dažādot mārketinga kanālus. Ne tikai paši populārākie tīkli </w:t>
      </w:r>
      <w:r w:rsidRPr="009F0354">
        <w:rPr>
          <w:i/>
        </w:rPr>
        <w:t>Facebook</w:t>
      </w:r>
      <w:r>
        <w:t xml:space="preserve"> un </w:t>
      </w:r>
      <w:r w:rsidRPr="009F0354">
        <w:rPr>
          <w:i/>
        </w:rPr>
        <w:t>Twitter</w:t>
      </w:r>
      <w:r>
        <w:t xml:space="preserve">, bet arī dažāda veida specializēti sociālie tīkli, piemēram, </w:t>
      </w:r>
      <w:r w:rsidRPr="009F0354">
        <w:rPr>
          <w:i/>
        </w:rPr>
        <w:t>Pinterest</w:t>
      </w:r>
      <w:r>
        <w:t xml:space="preserve">, </w:t>
      </w:r>
      <w:r w:rsidRPr="009F0354">
        <w:rPr>
          <w:i/>
        </w:rPr>
        <w:t>StumbleUpon</w:t>
      </w:r>
      <w:r>
        <w:t xml:space="preserve"> u. c., kļūst par nozīmīgu mārketinga sastāvdaļu.</w:t>
      </w:r>
    </w:p>
    <w:p w14:paraId="164A6E09" w14:textId="7BAAF5D9" w:rsidR="00B96738" w:rsidRDefault="00B96738" w:rsidP="00827CBF">
      <w:r>
        <w:rPr>
          <w:b/>
        </w:rPr>
        <w:t xml:space="preserve">Aizņemto patērētāju tirgus segments, kas ir gatavi maksāt par augstākās kvalitātes un ērtākiem produktiem. </w:t>
      </w:r>
      <w:r w:rsidRPr="009509D5">
        <w:t xml:space="preserve">Klientiem </w:t>
      </w:r>
      <w:r w:rsidRPr="009509D5">
        <w:rPr>
          <w:bCs/>
        </w:rPr>
        <w:t>kļūstot aizņemtākiem</w:t>
      </w:r>
      <w:r w:rsidRPr="009509D5">
        <w:t>, produktiem jākļūst vienkārši lietojamiem, taču vienlaikus tiem jādarbojas ilgāk.</w:t>
      </w:r>
      <w:r>
        <w:t xml:space="preserve"> Noturīgās lūpu krāsas un ātri žūstošās nagu lakas ir divas tendences. Uz to norāda dažādi kosmētikas industrijas pētījumi.</w:t>
      </w:r>
    </w:p>
    <w:p w14:paraId="0CBFE2E5" w14:textId="32FE5DBE" w:rsidR="00827CBF" w:rsidRDefault="00827CBF" w:rsidP="00827CBF">
      <w:r w:rsidRPr="6324B6F5">
        <w:rPr>
          <w:b/>
          <w:bCs/>
        </w:rPr>
        <w:t>Pretnovecošanas produktu lietotāji kļūst aizvien jaunāki.</w:t>
      </w:r>
      <w:r>
        <w:t xml:space="preserve"> Saskaņā ar </w:t>
      </w:r>
      <w:r w:rsidRPr="00457BBF">
        <w:rPr>
          <w:i/>
        </w:rPr>
        <w:t>Skin Inc</w:t>
      </w:r>
      <w:r>
        <w:t xml:space="preserve"> paaudze Y</w:t>
      </w:r>
      <w:r>
        <w:rPr>
          <w:rStyle w:val="FootnoteReference"/>
        </w:rPr>
        <w:footnoteReference w:id="50"/>
      </w:r>
      <w:r>
        <w:rPr>
          <w:rStyle w:val="FootnoteReference"/>
        </w:rPr>
        <w:footnoteReference w:id="51"/>
      </w:r>
      <w:r>
        <w:t xml:space="preserve"> kļuvusi par galveno patērētāju. Produkti jāsāk orientēt uz aizvien jauniem tirgus segmentiem.</w:t>
      </w:r>
      <w:r w:rsidR="00864D7E">
        <w:t xml:space="preserve"> Efektīva mārketinga kampaņa ir nepieciešama, lai veiksmīgi iekarotu šo segmentu, diversificējot to no vecākās vecuma grupas.</w:t>
      </w:r>
    </w:p>
    <w:p w14:paraId="387014ED" w14:textId="458D0732" w:rsidR="00827CBF" w:rsidRPr="00BA2F8E" w:rsidRDefault="00827CBF" w:rsidP="00827CBF">
      <w:r w:rsidRPr="009F0354">
        <w:rPr>
          <w:b/>
        </w:rPr>
        <w:t xml:space="preserve">Jauna produktu grupa </w:t>
      </w:r>
      <w:r>
        <w:rPr>
          <w:rFonts w:cstheme="minorHAnsi"/>
          <w:b/>
        </w:rPr>
        <w:t>—</w:t>
      </w:r>
      <w:r w:rsidRPr="00457BBF">
        <w:rPr>
          <w:b/>
        </w:rPr>
        <w:t xml:space="preserve"> </w:t>
      </w:r>
      <w:r w:rsidRPr="00F50B5A">
        <w:rPr>
          <w:b/>
          <w:i/>
        </w:rPr>
        <w:t>masstige.</w:t>
      </w:r>
      <w:r>
        <w:t xml:space="preserve"> Viena no tendencēm, kas būtiski maina kosmētikas tirgu, ir tādas masu produktu kategorijas parādīšanās, kas pretendē uz to pašu kvalitāti kā </w:t>
      </w:r>
      <w:r w:rsidRPr="009F0354">
        <w:rPr>
          <w:i/>
        </w:rPr>
        <w:t>premium</w:t>
      </w:r>
      <w:r>
        <w:t xml:space="preserve"> segmenta produkti, bet cenas ziņā atrodas tuvāk masu produktu segmentam. Jaunās produktu grupas nosaukums ir </w:t>
      </w:r>
      <w:r w:rsidRPr="00444F84">
        <w:rPr>
          <w:rStyle w:val="Emphasis"/>
        </w:rPr>
        <w:t>masstige</w:t>
      </w:r>
      <w:r>
        <w:t xml:space="preserve">, atvasinot no angļu valodas vārdiem </w:t>
      </w:r>
      <w:r w:rsidRPr="00676D2E">
        <w:rPr>
          <w:i/>
        </w:rPr>
        <w:t>mass prestige</w:t>
      </w:r>
      <w:r>
        <w:t xml:space="preserve">. Šajā segmentā darbojas arī uzņēmumi </w:t>
      </w:r>
      <w:r w:rsidRPr="00C735A3">
        <w:t>„</w:t>
      </w:r>
      <w:r w:rsidRPr="00457BBF">
        <w:t>Madara Cosmetics</w:t>
      </w:r>
      <w:r w:rsidRPr="00C735A3">
        <w:rPr>
          <w:i/>
        </w:rPr>
        <w:t>”</w:t>
      </w:r>
      <w:r>
        <w:rPr>
          <w:i/>
        </w:rPr>
        <w:t xml:space="preserve"> </w:t>
      </w:r>
      <w:r w:rsidRPr="00E30576">
        <w:t>un</w:t>
      </w:r>
      <w:r>
        <w:rPr>
          <w:i/>
        </w:rPr>
        <w:t xml:space="preserve"> “Stenders”</w:t>
      </w:r>
      <w:r w:rsidR="00864D7E">
        <w:t>, kas to paveic ar efektīvu mārketingu.</w:t>
      </w:r>
    </w:p>
    <w:p w14:paraId="18996F35" w14:textId="5EE22CAB" w:rsidR="001F6AA9" w:rsidRDefault="00827CBF" w:rsidP="00B900DC">
      <w:pPr>
        <w:pStyle w:val="Heading3"/>
      </w:pPr>
      <w:r>
        <w:t>Tehnoloģisko izaicinājumu radītas t</w:t>
      </w:r>
      <w:r w:rsidR="0014455F">
        <w:t>irgus iespējas un prasības</w:t>
      </w:r>
    </w:p>
    <w:p w14:paraId="514BF63B" w14:textId="77777777" w:rsidR="001F6AA9" w:rsidRPr="00CF2A2B" w:rsidRDefault="001F6AA9" w:rsidP="001F6AA9">
      <w:r>
        <w:t>Atsevišķi tehnoloģiskie izaicinājumi, kas ietilpst pārspējtehnoloģiju klasē, ietekmēs arī Latvijas ķīmijas nozares uzņēmumus.</w:t>
      </w:r>
    </w:p>
    <w:p w14:paraId="6A321531" w14:textId="77777777" w:rsidR="001F6AA9" w:rsidRPr="00CF2A2B" w:rsidRDefault="001F6AA9" w:rsidP="001F6AA9">
      <w:r w:rsidRPr="008E64FF">
        <w:rPr>
          <w:b/>
        </w:rPr>
        <w:lastRenderedPageBreak/>
        <w:t>Mobilais internets</w:t>
      </w:r>
      <w:r>
        <w:t xml:space="preserve"> būtiski palielina e-komercijas robežas un mārketinga iespējas, kā arī dažādas datu pārraides iespējas. Būtiskākā ietekme var būt uz kosmētikas nozari, globālās farmācijas kompānijām jau sekmīgi ieviešot risinājumus klientiem, kas ļauj tiem virtuālajā vidē testēt dekoratīvās kosmētikas produktus ar iespēju tos iegādāties. Mobilais internets i</w:t>
      </w:r>
      <w:r w:rsidRPr="00CF2A2B">
        <w:t xml:space="preserve">etver mobilās ierīces, kuru cenas strauji krītas, </w:t>
      </w:r>
      <w:r>
        <w:t xml:space="preserve">taču </w:t>
      </w:r>
      <w:r w:rsidRPr="00CF2A2B">
        <w:t>vienlaikus strauji aug to veiktspēja. Mobilais internets paplašina e-komercijas pieejamību un efektivitāti</w:t>
      </w:r>
      <w:r>
        <w:t xml:space="preserve"> </w:t>
      </w:r>
      <w:r>
        <w:rPr>
          <w:rFonts w:cstheme="minorHAnsi"/>
        </w:rPr>
        <w:t>—</w:t>
      </w:r>
      <w:r w:rsidRPr="00CF2A2B">
        <w:t xml:space="preserve"> gan kā reklāmas m</w:t>
      </w:r>
      <w:r>
        <w:t>ē</w:t>
      </w:r>
      <w:r w:rsidRPr="00CF2A2B">
        <w:t>dij</w:t>
      </w:r>
      <w:r>
        <w:t>a</w:t>
      </w:r>
      <w:r w:rsidRPr="00CF2A2B">
        <w:t>, gan kā komunikācijas norēķinu un pasūtīšanas.</w:t>
      </w:r>
      <w:r>
        <w:t xml:space="preserve"> Tehnoloģijas attīstība dod iespēju Latvijas komersantiem strādāt ar klientiem citos tirgos bez starpniekiem, kas būtiski maina piegādes ķēdes garumu.</w:t>
      </w:r>
    </w:p>
    <w:p w14:paraId="1E63D7E3" w14:textId="77777777" w:rsidR="001F6AA9" w:rsidRPr="00CF2A2B" w:rsidRDefault="001F6AA9" w:rsidP="001F6AA9">
      <w:r w:rsidRPr="6324B6F5">
        <w:rPr>
          <w:b/>
          <w:bCs/>
        </w:rPr>
        <w:t>Mākoņskaitļošana</w:t>
      </w:r>
      <w:r>
        <w:rPr>
          <w:rStyle w:val="FootnoteReference"/>
        </w:rPr>
        <w:footnoteReference w:id="52"/>
      </w:r>
      <w:r w:rsidRPr="00CF2A2B">
        <w:t xml:space="preserve"> ir </w:t>
      </w:r>
      <w:r>
        <w:t>to</w:t>
      </w:r>
      <w:r w:rsidRPr="00CF2A2B">
        <w:t xml:space="preserve"> zāļu meklēšanas programm</w:t>
      </w:r>
      <w:r>
        <w:t>u pamatā</w:t>
      </w:r>
      <w:r w:rsidRPr="00CF2A2B">
        <w:t>, kas sola pārvērst farmācijas nozari.</w:t>
      </w:r>
      <w:r>
        <w:t xml:space="preserve"> Mākoņskaitļošana ir padarījusi pieejamas milzīgas skaitļošanas jaudas salīdzinoši maziem uzņēmumiem, tāpēc ir būtiski paaugstinājusies aktivitāte jaunu algoritmu un pieeju izstrādē. Ņemot vērā strauji augošo tehnoloģijas popularitāti, visticamāk, ka lielākās izmaiņas nozarē vēl priekšā. Valstij atbalstot jauno tehnoloģiju ieviešanu, Latvijas komersanti var būt pievilcīgi kā darba vieta tiem speciālistiem, kuri vēlas sākt karjeru inovatīvos uzņēmumos un strādāt ar jaunākajām tehnoloģijām. Nesaņemot valsts atbalstu apmācību procesā, šo tehnoloģiju pārņemšana kavēsies.</w:t>
      </w:r>
    </w:p>
    <w:p w14:paraId="775DE632" w14:textId="77777777" w:rsidR="001F6AA9" w:rsidRPr="00CF2A2B" w:rsidRDefault="001F6AA9" w:rsidP="001F6AA9">
      <w:r w:rsidRPr="6324B6F5">
        <w:rPr>
          <w:b/>
          <w:bCs/>
        </w:rPr>
        <w:t>Nākamās paaudzes gēnu inženierija</w:t>
      </w:r>
      <w:r>
        <w:rPr>
          <w:rStyle w:val="FootnoteReference"/>
        </w:rPr>
        <w:footnoteReference w:id="53"/>
      </w:r>
      <w:r>
        <w:t xml:space="preserve"> rada iespējas personālai medicīnai, proti, veikt katrai personai efektīvākās terapijas izvēli, pamatojoties uz konkrētās personas gēnu informāciju. Latvijas eksperti uzskata, ka zāļu sintezēšana personālām vajadzībām, visticamāk, ir ārkārtīgi tāla nākotne.</w:t>
      </w:r>
      <w:r w:rsidRPr="00CF2A2B">
        <w:t xml:space="preserve"> Tomēr Latvijas uzņēmumi gūs priekšrocības no tā, ka</w:t>
      </w:r>
      <w:r>
        <w:t>,</w:t>
      </w:r>
      <w:r w:rsidRPr="00CF2A2B">
        <w:t xml:space="preserve"> personalizējot medikamentus, tiks ražotas mazākas partijas, līdz ar to konkurētspējas priekšrocības gūs </w:t>
      </w:r>
      <w:r>
        <w:t xml:space="preserve">tie </w:t>
      </w:r>
      <w:r w:rsidRPr="00CF2A2B">
        <w:t>komersanti</w:t>
      </w:r>
      <w:r>
        <w:t>, kas ir spējīgāki</w:t>
      </w:r>
      <w:r w:rsidRPr="00CF2A2B">
        <w:t xml:space="preserve"> pielāgoties</w:t>
      </w:r>
      <w:r>
        <w:t>,</w:t>
      </w:r>
      <w:r w:rsidRPr="00CF2A2B">
        <w:t xml:space="preserve"> nevis lielākie </w:t>
      </w:r>
      <w:r>
        <w:t>uzņēmumi</w:t>
      </w:r>
      <w:r w:rsidRPr="00CF2A2B">
        <w:t>.</w:t>
      </w:r>
    </w:p>
    <w:p w14:paraId="6854F7FC" w14:textId="77777777" w:rsidR="001F6AA9" w:rsidRPr="00CF2A2B" w:rsidRDefault="001F6AA9" w:rsidP="001F6AA9">
      <w:r w:rsidRPr="00A566FE">
        <w:rPr>
          <w:b/>
        </w:rPr>
        <w:t xml:space="preserve">Jaunus izaicinājumus un iespējas ir radījusi 3D drukāšana. </w:t>
      </w:r>
      <w:r w:rsidRPr="00A566FE">
        <w:t>3D drukāšanas tehnoloģijas attīstās un, ņemot vērā to, ka tās ir salīdzinoši jaunas, joprojām eksperimentālas un to piegādes ķēdes nemitīgi mainās, šis ir lauks inovācijām un ātrai jaunu produktu ieviešanai. 3D drukāšana būtiski ietekmēs vērtības ķēdes nākotnē, jo tā ļauj ražot mazus apjomus un pielāgoties individuālām vajadzībām. Farmācijas nozarē, piemēram, kļūst iespējama dažādu dozu tablešu ražošana, radot jaunas iespējas personalizētai medicīnai, kā arī aktīvo farmaceitisko vielu ražošanai P&amp;A vajadzībām pēc pieprasījumā. Savukārt kosmētikas nozarē ir iespējams pasūtīt produktus pēc individuāla pieprasījuma.</w:t>
      </w:r>
      <w:r>
        <w:t xml:space="preserve"> </w:t>
      </w:r>
    </w:p>
    <w:p w14:paraId="1EBA6713" w14:textId="77777777" w:rsidR="001F6AA9" w:rsidRDefault="001F6AA9" w:rsidP="001F6AA9">
      <w:r w:rsidRPr="006F49D6">
        <w:rPr>
          <w:b/>
        </w:rPr>
        <w:t>Attīstītās naftas un gāzes meklēšanas un iegūšanas tehnoloģijas</w:t>
      </w:r>
      <w:r>
        <w:t xml:space="preserve"> ir būtiski samazinājušas enerģijas cenas ASV. Ārkārtīgi lielā cenu starpība starp ASV un pārējo pasauli liek Eiropas uzņēmumiem meklēt papildu līdzekļus konkurences cīņā.</w:t>
      </w:r>
    </w:p>
    <w:p w14:paraId="1399794B" w14:textId="7C60E1D3" w:rsidR="00313CA2" w:rsidRPr="00162221" w:rsidRDefault="001F6AA9" w:rsidP="00313CA2">
      <w:r>
        <w:t>Faktiski visi tehnoloģiskie izaicinājumi padara nozari mobilāku un rada jaunas globālas nišas, kurās nav nostabilizējušies lielie nozares dalībnieki un nav vajadzīgi lieli sākotnējie ieguldījumi. Latvijai šāda situācija rada gan iespēju, gan draudus. No vienas puses, šie izaicinājumi turpinās sekmēt globālu talantu pieprasījumu un intelektuālā darbaspēka emigrāciju no Latvijas, no otras puses, šie izaicinājumi rada iespējas Latvijas uzņēmumiem. Jebkurā gadījumā ticamākais scenārijs liecina, ka sākotnēji lielākie uzvarētāji būs tās pilsētas, aglomerācijas un reģioni, kuros būs vairāk šo tehnoloģiju veiksmes stāstu un kuri būs sekmīgāki jauno talantu piesaistē un koncentrēšanā.</w:t>
      </w:r>
    </w:p>
    <w:p w14:paraId="6E54D68B" w14:textId="77777777" w:rsidR="00A34972" w:rsidRPr="00446E1C" w:rsidRDefault="00A34972" w:rsidP="00A34972">
      <w:pPr>
        <w:pStyle w:val="Heading1"/>
        <w:pageBreakBefore w:val="0"/>
        <w:shd w:val="clear" w:color="auto" w:fill="auto"/>
        <w:spacing w:before="240" w:after="0" w:line="259" w:lineRule="auto"/>
        <w:ind w:left="720" w:hanging="360"/>
        <w:contextualSpacing w:val="0"/>
        <w:jc w:val="left"/>
        <w:rPr>
          <w:lang w:eastAsia="lv-LV"/>
        </w:rPr>
      </w:pPr>
      <w:bookmarkStart w:id="46" w:name="_Toc119072224"/>
      <w:r w:rsidRPr="00446E1C">
        <w:rPr>
          <w:lang w:eastAsia="lv-LV"/>
        </w:rPr>
        <w:lastRenderedPageBreak/>
        <w:t>Pētniecības virzienu pamatojums</w:t>
      </w:r>
      <w:bookmarkEnd w:id="46"/>
    </w:p>
    <w:p w14:paraId="629292C4" w14:textId="0712A5A4" w:rsidR="00D818BA" w:rsidRDefault="00D818BA" w:rsidP="00D818BA">
      <w:pPr>
        <w:rPr>
          <w:shd w:val="clear" w:color="auto" w:fill="auto"/>
        </w:rPr>
      </w:pPr>
      <w:r>
        <w:t>Farmācijas, biomedicīnas un medicīnas tehnoloģiju un kompetences centrā tiks veikti pētījumi divos pētniecības virzienos:</w:t>
      </w:r>
    </w:p>
    <w:p w14:paraId="1AD4D28A" w14:textId="6ED3F8C5" w:rsidR="00063B1D" w:rsidRDefault="00B95F6A" w:rsidP="006F31C1">
      <w:pPr>
        <w:pStyle w:val="ListParagraph"/>
        <w:numPr>
          <w:ilvl w:val="0"/>
          <w:numId w:val="27"/>
        </w:numPr>
        <w:shd w:val="clear" w:color="auto" w:fill="FFFFFF"/>
      </w:pPr>
      <w:r w:rsidRPr="00B95F6A">
        <w:rPr>
          <w:shd w:val="clear" w:color="auto" w:fill="auto"/>
          <w:lang w:eastAsia="lv-LV"/>
        </w:rPr>
        <w:t>Biofarmācija, biomedicīna, medicīnas tehnoloģijas, biotehnoloģija</w:t>
      </w:r>
      <w:r w:rsidRPr="00B95F6A" w:rsidDel="00B95F6A">
        <w:rPr>
          <w:shd w:val="clear" w:color="auto" w:fill="auto"/>
          <w:lang w:eastAsia="lv-LV"/>
        </w:rPr>
        <w:t xml:space="preserve"> </w:t>
      </w:r>
      <w:r w:rsidR="00C44334" w:rsidRPr="00C44334" w:rsidDel="00C44334">
        <w:rPr>
          <w:shd w:val="clear" w:color="auto" w:fill="auto"/>
          <w:lang w:eastAsia="lv-LV"/>
        </w:rPr>
        <w:t xml:space="preserve"> </w:t>
      </w:r>
      <w:r w:rsidR="00D818BA">
        <w:t>–</w:t>
      </w:r>
      <w:r w:rsidR="00CC382B">
        <w:t xml:space="preserve"> </w:t>
      </w:r>
      <w:r w:rsidR="0021279E">
        <w:t>diagnostiskās, ārstēšanas</w:t>
      </w:r>
      <w:r w:rsidR="00F87289">
        <w:t>, telemedicīnas</w:t>
      </w:r>
      <w:r w:rsidR="0021279E">
        <w:t xml:space="preserve"> un </w:t>
      </w:r>
      <w:r w:rsidR="00F87289">
        <w:t>mākslīgā intelekta pielietošanas medicīnas</w:t>
      </w:r>
      <w:r w:rsidR="0021279E">
        <w:t xml:space="preserve"> tehnoloģiju pētniecība un izstrāde, </w:t>
      </w:r>
      <w:r w:rsidR="00F87289">
        <w:t xml:space="preserve">tai skaitā </w:t>
      </w:r>
      <w:r w:rsidR="0073476C">
        <w:t xml:space="preserve">pētot šūnu un </w:t>
      </w:r>
      <w:r w:rsidR="00540741">
        <w:t>gēnu aktivācijas</w:t>
      </w:r>
      <w:r w:rsidR="0073476C">
        <w:t xml:space="preserve"> </w:t>
      </w:r>
      <w:r w:rsidR="00C5520D">
        <w:t xml:space="preserve">procesus </w:t>
      </w:r>
      <w:r w:rsidR="00C02208">
        <w:t xml:space="preserve">jaunu </w:t>
      </w:r>
      <w:r w:rsidR="00C5520D">
        <w:t xml:space="preserve">medicīnisko </w:t>
      </w:r>
      <w:r w:rsidR="00C02208">
        <w:t xml:space="preserve">produktu </w:t>
      </w:r>
      <w:r w:rsidR="00E24FF2">
        <w:t>izstrāde</w:t>
      </w:r>
      <w:r w:rsidR="00F87289">
        <w:t>i</w:t>
      </w:r>
      <w:r w:rsidR="00C5520D">
        <w:t xml:space="preserve">, esošu </w:t>
      </w:r>
      <w:r w:rsidR="00392D69">
        <w:t xml:space="preserve">zāļu </w:t>
      </w:r>
      <w:r w:rsidR="002C5AF5">
        <w:t>pētniecība</w:t>
      </w:r>
      <w:r w:rsidR="00166705">
        <w:t xml:space="preserve"> izmantojot biotehnoloģijas metodes, </w:t>
      </w:r>
    </w:p>
    <w:p w14:paraId="34989C5D" w14:textId="0397A9C4" w:rsidR="00D818BA" w:rsidRDefault="00C238AC" w:rsidP="006F31C1">
      <w:pPr>
        <w:pStyle w:val="ListParagraph"/>
        <w:numPr>
          <w:ilvl w:val="0"/>
          <w:numId w:val="27"/>
        </w:numPr>
        <w:shd w:val="clear" w:color="auto" w:fill="FFFFFF"/>
      </w:pPr>
      <w:r w:rsidRPr="00540741">
        <w:rPr>
          <w:shd w:val="clear" w:color="auto" w:fill="auto"/>
          <w:lang w:eastAsia="lv-LV"/>
        </w:rPr>
        <w:t>Farmācija</w:t>
      </w:r>
      <w:r w:rsidR="00F87289" w:rsidRPr="00540741">
        <w:rPr>
          <w:shd w:val="clear" w:color="auto" w:fill="auto"/>
          <w:lang w:eastAsia="lv-LV"/>
        </w:rPr>
        <w:t xml:space="preserve"> (oriģinālzāles un patentbrīvās zāles)</w:t>
      </w:r>
      <w:r w:rsidRPr="00540741">
        <w:rPr>
          <w:shd w:val="clear" w:color="auto" w:fill="auto"/>
          <w:lang w:eastAsia="lv-LV"/>
        </w:rPr>
        <w:t>, dabas vielu zāles, organiskā ķīmija, kosmētika</w:t>
      </w:r>
      <w:r w:rsidR="00742C39" w:rsidRPr="00540741" w:rsidDel="00CC1A8D">
        <w:rPr>
          <w:shd w:val="clear" w:color="auto" w:fill="auto"/>
          <w:lang w:eastAsia="lv-LV"/>
        </w:rPr>
        <w:t xml:space="preserve"> </w:t>
      </w:r>
      <w:r w:rsidR="00D818BA">
        <w:t xml:space="preserve">– </w:t>
      </w:r>
      <w:r w:rsidR="00CE35B4">
        <w:t xml:space="preserve">aktīvo </w:t>
      </w:r>
      <w:r w:rsidR="00540741">
        <w:t xml:space="preserve">farmaceitisko </w:t>
      </w:r>
      <w:r w:rsidR="00CE35B4">
        <w:t>vielu izpēte</w:t>
      </w:r>
      <w:r w:rsidR="00540741">
        <w:t>,</w:t>
      </w:r>
      <w:r w:rsidR="00CE35B4">
        <w:t xml:space="preserve"> jaunu </w:t>
      </w:r>
      <w:r w:rsidR="00540741">
        <w:t xml:space="preserve">oriģinālu zāļu piegādes tehnoloģiju izstrāde, jaunu </w:t>
      </w:r>
      <w:r w:rsidR="00CE35B4">
        <w:t xml:space="preserve">patentbrīvo medikamentu izstrāde, </w:t>
      </w:r>
      <w:r w:rsidR="00D818BA">
        <w:t>jaunu uztura bagātinātāju un kosmētikas produktu</w:t>
      </w:r>
      <w:r w:rsidR="005842D0">
        <w:t xml:space="preserve"> izstrāde</w:t>
      </w:r>
      <w:r w:rsidR="00D818BA">
        <w:t>, pielietojot Ziemeļeiropas augu aktīvo vielu ekstraktus un to biotehnoloģiskas (fermentācijas) modificēšanas tehnoloģijas, atbilstoši funkcionālās kosmētikas nozares tendencēm dažādos pasaules reģionos</w:t>
      </w:r>
      <w:r w:rsidR="00540741">
        <w:t xml:space="preserve">. </w:t>
      </w:r>
      <w:r w:rsidR="00D818BA">
        <w:t xml:space="preserve">Detalizēti nākotnes perspektīvākie segmenti globālajā tirgū aprakstīti 1. Stratēģijas sadaļā, tomēr izvēlētie pētniecības virzieni cieši korelē ar Latvijas uzņēmumu patreizējām specializācijas nišām un ļaus palielināt ieņēmumus no jau apgūtiem tirgiem un virzīties uz jaunām produktu grupām, kas domātas jauniem līdz šim neapgūtiem tirgiem. </w:t>
      </w:r>
    </w:p>
    <w:p w14:paraId="5DB3782C" w14:textId="32C69CCF" w:rsidR="00D818BA" w:rsidRDefault="00D818BA" w:rsidP="00D818BA">
      <w:r>
        <w:t>Vienlaicīgi izvēlētās nišas labi korelē ar zāļu globālā tirgus a</w:t>
      </w:r>
      <w:r w:rsidR="001A268F">
        <w:t xml:space="preserve">ttīstības tendencēm līdz </w:t>
      </w:r>
      <w:r w:rsidR="00C52D0B">
        <w:t>2025</w:t>
      </w:r>
      <w:r w:rsidR="001A268F">
        <w:t>. g</w:t>
      </w:r>
      <w:r>
        <w:t>adam. Atbilstoši visstraujāk turpinās augt patentbrīvo (</w:t>
      </w:r>
      <w:r>
        <w:rPr>
          <w:i/>
        </w:rPr>
        <w:t>generic</w:t>
      </w:r>
      <w:r>
        <w:t>) medikamentu globālais pieprasījums</w:t>
      </w:r>
      <w:r w:rsidR="00113E95">
        <w:t xml:space="preserve"> un biotehnoloģiski ražojamo preparātu pieprasījums (angl. biologics)</w:t>
      </w:r>
      <w:r>
        <w:t>. Generic medikamentu globālais tirgus tika novērtēts 168 miljardi $, tad tirgus analītiķi prognozē tā pieaugumu līdz 283 miljardiem $ 2018.</w:t>
      </w:r>
      <w:r w:rsidR="001A268F">
        <w:t xml:space="preserve"> </w:t>
      </w:r>
      <w:r>
        <w:t>gadā, uzrādot CAGR 11% (cumulated anual growth rate)</w:t>
      </w:r>
      <w:r>
        <w:rPr>
          <w:vertAlign w:val="superscript"/>
        </w:rPr>
        <w:t>3</w:t>
      </w:r>
      <w:r>
        <w:t>.</w:t>
      </w:r>
    </w:p>
    <w:p w14:paraId="49160866" w14:textId="77777777" w:rsidR="00D818BA" w:rsidRDefault="00D818BA" w:rsidP="00D818BA">
      <w:r>
        <w:t>Tas nozīmē, ka Latvijas farmācijas uzņēmumiem ir labas perspektīvas palielināt eksporta noietus jo īpaši strauji augošajos attīstības valstu tirgos, piedāvājot “Eiropas kvalitātes un drošuma” imidža patentbrīvos medikamentus ar nelielu premium cenas ziņā salīdzinot ar Indijā un Ķīnā ražotiem medikamentiem.</w:t>
      </w:r>
    </w:p>
    <w:p w14:paraId="173BFCB1" w14:textId="77777777" w:rsidR="00D818BA" w:rsidRDefault="00D818BA" w:rsidP="00D818BA">
      <w:r>
        <w:t xml:space="preserve">Arī iepriekšējā daļas komersantu pieredze pētniecības un inovāciju pakalpojumu izmantošanā rezultējusies komerciālos rezultātos, kas ļauj turpināt pētīt gan Latvijas un ZiemeļEiropas augu dabas vielas, gan meklēt jaunu kosmētikas līdzekļu piedevas, tāpat kā attīstīt un paplašināt sintētisko zāļu patentbrīvo medikamentu portfolio eksportējošos zāļu ražošanas uzņēmumos. </w:t>
      </w:r>
    </w:p>
    <w:p w14:paraId="59A2CB52" w14:textId="77777777" w:rsidR="00D818BA" w:rsidRDefault="00D818BA" w:rsidP="00D818BA">
      <w:r>
        <w:t>Attiecībā uz biotehnoloģiski iegūtajām zālēm, neskatoties uz to ka to ka globālā tirgus izaugsmes perspektīva arī ir ļoti perspektīva (Ilustrācija 15), tomēr Latvijas zāļu ražotāju izredzes ir visumā ierobežotas, jo Latvijas zinātniskais potenciāls ne industriālo producentu celmu izstrādē un mērogošanā, ne GMP klases down-stream procesing (hromatogrāfiskā attīrīšana līdz farmakopejas prasībām) nav pietiekošas, lai nodrošinātu konkurētspējīgu tehnoloģisko priekšrocību “sarkanās biotehnoloģijas” produktu jeb biopharmaceuticals izstrādes laika un izmaksu ziņā. Ļoti skrupulozā ES likumdošana biosimilars jomā (biotehnoloģiskās pēcpatenta zāles), nosaka to ka Rietumeiropā pasūtīta biopharmaceutical izstrādes budžeta cena būs no 3-8 milj EUR.</w:t>
      </w:r>
    </w:p>
    <w:p w14:paraId="555EF1EA" w14:textId="09E6D668" w:rsidR="00D818BA" w:rsidRDefault="00D818BA" w:rsidP="00D818BA">
      <w:r>
        <w:t>Līdz ar to Viedās specializācijas apakšvirziens Biotehnoloģija Kompetences centrā tiks attīstīts biotehnoloģiskās metodes</w:t>
      </w:r>
      <w:r w:rsidR="00113E95">
        <w:t xml:space="preserve">, lai “zaļinātu” aktīvo farmaceitisko vielu ražošanas tehnoloģijas, kā arī lai </w:t>
      </w:r>
      <w:r>
        <w:t xml:space="preserve"> </w:t>
      </w:r>
      <w:r w:rsidR="00113E95">
        <w:t xml:space="preserve">tās [pielietotu </w:t>
      </w:r>
      <w:r>
        <w:t xml:space="preserve">jaunu kosmētikas produktu izstrādei pielietojot Ziemeļeiropas augu aktīvo vielu ekstraktus un to biotehnoloģiskas (fermentācijas) modificēšanas tehnoloģijas, atbilstoši funkcionālās kosmētikas nozares tendencēm dažādos pasaules reģionos. </w:t>
      </w:r>
    </w:p>
    <w:p w14:paraId="367371C7" w14:textId="77777777" w:rsidR="00D818BA" w:rsidRDefault="00D818BA" w:rsidP="00D818BA"/>
    <w:p w14:paraId="05E0BBFC" w14:textId="77777777" w:rsidR="00D818BA" w:rsidRDefault="00D818BA" w:rsidP="00D818BA">
      <w:r>
        <w:rPr>
          <w:rFonts w:ascii="Segoe UI" w:hAnsi="Segoe UI" w:cs="Segoe UI"/>
          <w:i/>
          <w:color w:val="002060"/>
          <w:sz w:val="18"/>
          <w:szCs w:val="18"/>
        </w:rPr>
        <w:t>Ilustrācija 15. ASV biotehnoloģiskā tirgus tendences 2012-2020, milj.$.</w:t>
      </w:r>
    </w:p>
    <w:p w14:paraId="19985A1D" w14:textId="67EBB165" w:rsidR="00D818BA" w:rsidRDefault="00D818BA" w:rsidP="00D818BA">
      <w:r>
        <w:rPr>
          <w:rFonts w:ascii="Helvetica" w:hAnsi="Helvetica" w:cs="Calibri"/>
          <w:noProof/>
          <w:color w:val="373737"/>
          <w:sz w:val="22"/>
          <w:szCs w:val="22"/>
          <w:lang w:eastAsia="lv-LV"/>
        </w:rPr>
        <w:drawing>
          <wp:inline distT="0" distB="0" distL="0" distR="0" wp14:anchorId="0A6BBF32" wp14:editId="4CFB835F">
            <wp:extent cx="4561205" cy="2711450"/>
            <wp:effectExtent l="0" t="0" r="0" b="0"/>
            <wp:docPr id="6" name="Picture 6" descr="Biotech_trends_2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iotech_trends_2020"/>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561205" cy="2711450"/>
                    </a:xfrm>
                    <a:prstGeom prst="rect">
                      <a:avLst/>
                    </a:prstGeom>
                    <a:noFill/>
                    <a:ln>
                      <a:noFill/>
                    </a:ln>
                  </pic:spPr>
                </pic:pic>
              </a:graphicData>
            </a:graphic>
          </wp:inline>
        </w:drawing>
      </w:r>
    </w:p>
    <w:p w14:paraId="04C5BA6B" w14:textId="77777777" w:rsidR="00D818BA" w:rsidRDefault="00D818BA" w:rsidP="00D818BA">
      <w:r>
        <w:t xml:space="preserve">Šeit atkārtoti uzskaitītas būtiskākās komersantu iespējas attīstīt konkurētspējīgās nišas, kuras tiks ņemtas vērā apstiprinot pētījumu tēmas Kompetences centrā: </w:t>
      </w:r>
    </w:p>
    <w:p w14:paraId="308D50F8" w14:textId="77777777" w:rsidR="00D818BA" w:rsidRDefault="00D818BA" w:rsidP="006F31C1">
      <w:pPr>
        <w:pStyle w:val="BulletsF"/>
        <w:numPr>
          <w:ilvl w:val="0"/>
          <w:numId w:val="28"/>
        </w:numPr>
        <w:shd w:val="clear" w:color="auto" w:fill="auto"/>
        <w:jc w:val="left"/>
      </w:pPr>
      <w:r>
        <w:t>Šīs industrijas uzņēmumi pamatā ir ļoti šauri nišu uzņēmumi, kuri ir pārstāvēti ļoti atšķirīgos sektoros, nišās, tirgos un produktu grupās. Uzņēmumiem ir atšķirīgi biznesa modeļi. Projektiem jāatbilst konkrētā pasūtītāja komersanta biznesa prasmēm vai izvēlētai darbības stratēģijai, lai rezultātus varētu arī komercializēt un pilnvērtīgi gūt ienākumus no tiem.</w:t>
      </w:r>
    </w:p>
    <w:p w14:paraId="3868197A" w14:textId="42BA23F1" w:rsidR="00D818BA" w:rsidRDefault="00D818BA" w:rsidP="006F31C1">
      <w:pPr>
        <w:pStyle w:val="BulletsF"/>
        <w:numPr>
          <w:ilvl w:val="0"/>
          <w:numId w:val="28"/>
        </w:numPr>
        <w:shd w:val="clear" w:color="auto" w:fill="auto"/>
        <w:jc w:val="left"/>
      </w:pPr>
      <w:r>
        <w:t>Pašreizējo nišu potenciāls vēl nav izsmelts. Savukārt</w:t>
      </w:r>
      <w:r w:rsidR="003D7434">
        <w:t xml:space="preserve"> </w:t>
      </w:r>
      <w:r>
        <w:t>pat lielākam skaitam uzņēmumu pārvietojoties uz kādu no iespējamām nišām, nav pietiekamas pārliecības par tādu kompetences pieaugumu un uzņēmumu koncentrāciju, kas radītu kritisko masu un attaisnotu esošo nišu atstāšanu, tādēļ racionāli tiks atbalstīti esošo nišu paplašinoši pētījumi.</w:t>
      </w:r>
    </w:p>
    <w:p w14:paraId="0CA63FEE" w14:textId="77777777" w:rsidR="00D818BA" w:rsidRDefault="00D818BA" w:rsidP="006F31C1">
      <w:pPr>
        <w:pStyle w:val="BulletsF"/>
        <w:numPr>
          <w:ilvl w:val="0"/>
          <w:numId w:val="28"/>
        </w:numPr>
        <w:shd w:val="clear" w:color="auto" w:fill="auto"/>
        <w:jc w:val="left"/>
      </w:pPr>
      <w:r>
        <w:t>Attiecībā uz zinātnes specializāciju un līdzekļu koncentrēšanu situācija ir divējāda, proti: lielākajai daļai no augsto tehnoloģiju uzņēmumu (galvenokārt kosmētikas ražošanā), kas veic arī P&amp;A aktivitātes, laika horizonts, kurā tie spēj prognozēt aktuālās tehnoloģijas pamatā, ir īss — tikai daži gadi, tāpēc uzņēmumi nevar iepriekš izvirzīt šauras, stratēģiskas zināšanu jomas, kurās specializēties zinātnei. Vienlaikus tiem ir identificētas pamata kompetences, kurās tie neparedz ārpakalpojumus un kurās tie ir noteikuši nepieciešamību pēc kvalificētiem cilvēkresursiem, attiecībā uz kuriem palielināt iekšējo P&amp;A kapacitāti. Izņēmums ir farmācija ar gariem P&amp;A ieguldījumu cikliem.</w:t>
      </w:r>
    </w:p>
    <w:p w14:paraId="60EF426F" w14:textId="77777777" w:rsidR="00D818BA" w:rsidRDefault="00D818BA" w:rsidP="006F31C1">
      <w:pPr>
        <w:pStyle w:val="BulletsF"/>
        <w:numPr>
          <w:ilvl w:val="0"/>
          <w:numId w:val="28"/>
        </w:numPr>
        <w:shd w:val="clear" w:color="auto" w:fill="auto"/>
        <w:jc w:val="left"/>
      </w:pPr>
      <w:r>
        <w:t>Latvijas uzņēmumiem ir ierobežotas P&amp;A&amp;I kapacitātes, tāpēc nozares uzņēmumi nišas ieņem sekmīgi, apvienojot pieejamās pašu P&amp;A&amp;I spējas ar specifiskām mārketinga spējām, tirgus zināšanām un vēsturiskiem piegādes kanāliem. Trūkstošās kompetences, ko prasa kāds specifisks reģions, piemēram DA Āzija, tiks iepirkti ārpakalpojumos gan no Latvijas zinātniskajām institūcijām, gan specializētām P&amp;A servisus sniedzošām firmām Latvijā un ārzemēs. 2007.-2013. Gada plānošanas perioda Kompetences centrs “Pharma and Chemistry Competence Centre of Latvia” 5 gadu laikā attīstīja sadarbību ar vairāk nekā 30 šādām specializētām P&amp;A servisus sniedzošām firmām, un nodos šō pieredzi un kontaktus FBMTKC.</w:t>
      </w:r>
    </w:p>
    <w:p w14:paraId="55D48646" w14:textId="77777777" w:rsidR="00D818BA" w:rsidRDefault="00D818BA" w:rsidP="006F31C1">
      <w:pPr>
        <w:pStyle w:val="BulletsF"/>
        <w:numPr>
          <w:ilvl w:val="0"/>
          <w:numId w:val="28"/>
        </w:numPr>
        <w:shd w:val="clear" w:color="auto" w:fill="auto"/>
        <w:jc w:val="left"/>
      </w:pPr>
      <w:r>
        <w:lastRenderedPageBreak/>
        <w:t>Latvijas farmācijas  nozares uzņēmumi pamatā ir iesaistīti reģionālās vai starptautiskās piegādes ķēdēs. Latvijā esošās ķēdes neeksistē vai tās ir ļoti seklas</w:t>
      </w:r>
      <w:r>
        <w:rPr>
          <w:rStyle w:val="FootnoteReference"/>
        </w:rPr>
        <w:footnoteReference w:id="54"/>
      </w:r>
      <w:r>
        <w:t xml:space="preserve"> un šauras</w:t>
      </w:r>
      <w:r>
        <w:rPr>
          <w:rStyle w:val="FootnoteReference"/>
        </w:rPr>
        <w:footnoteReference w:id="55"/>
      </w:r>
      <w:r>
        <w:t>.</w:t>
      </w:r>
    </w:p>
    <w:p w14:paraId="4BF1905C" w14:textId="6C0B6A78" w:rsidR="006A3231" w:rsidRDefault="00D818BA" w:rsidP="001A268F">
      <w:pPr>
        <w:keepLines w:val="0"/>
        <w:shd w:val="clear" w:color="auto" w:fill="auto"/>
        <w:spacing w:before="0" w:after="0"/>
        <w:jc w:val="left"/>
        <w:rPr>
          <w:rFonts w:ascii="Times New Roman" w:eastAsiaTheme="minorHAnsi" w:hAnsi="Times New Roman" w:cs="Times New Roman"/>
          <w:sz w:val="24"/>
          <w:szCs w:val="24"/>
          <w:lang w:eastAsia="lv-LV"/>
        </w:rPr>
      </w:pPr>
      <w:r>
        <w:t>Labāka materiāla segmentācija, šaurāku nišu meklēšana, kurām ir īsāki produktu adaptācijas laiki vai mazāks regulējums, būtu pareizāka nišu ieņemšanas stratēģija. Izvērtētas prognozes attiecībā uz jaunā produkta ekonomisko atdevi, it īpaši uz šīs atdeves laika dimensiju, šaurāka un precīzāka segmentācija novedīs pie labāka rezultāta</w:t>
      </w:r>
      <w:r w:rsidR="001A268F">
        <w:t>.</w:t>
      </w:r>
      <w:r>
        <w:rPr>
          <w:rFonts w:ascii="Times New Roman" w:eastAsiaTheme="minorHAnsi" w:hAnsi="Times New Roman" w:cs="Times New Roman"/>
          <w:sz w:val="24"/>
          <w:szCs w:val="24"/>
          <w:lang w:eastAsia="lv-LV"/>
        </w:rPr>
        <w:t xml:space="preserve"> </w:t>
      </w:r>
    </w:p>
    <w:p w14:paraId="0CDBEC78" w14:textId="77777777" w:rsidR="001A268F" w:rsidRPr="001A268F" w:rsidRDefault="001A268F" w:rsidP="001A268F">
      <w:pPr>
        <w:keepLines w:val="0"/>
        <w:shd w:val="clear" w:color="auto" w:fill="auto"/>
        <w:spacing w:before="0" w:after="0"/>
        <w:jc w:val="left"/>
        <w:rPr>
          <w:rFonts w:ascii="Times New Roman" w:eastAsiaTheme="minorHAnsi" w:hAnsi="Times New Roman" w:cs="Times New Roman"/>
          <w:sz w:val="24"/>
          <w:szCs w:val="24"/>
          <w:lang w:eastAsia="lv-LV"/>
        </w:rPr>
      </w:pPr>
    </w:p>
    <w:p w14:paraId="47B78117" w14:textId="0305D870" w:rsidR="00A34972" w:rsidRDefault="00A34972" w:rsidP="00A34972">
      <w:pPr>
        <w:pStyle w:val="Heading1"/>
        <w:pageBreakBefore w:val="0"/>
        <w:shd w:val="clear" w:color="auto" w:fill="auto"/>
        <w:spacing w:before="240" w:after="0" w:line="259" w:lineRule="auto"/>
        <w:ind w:left="720" w:hanging="360"/>
        <w:contextualSpacing w:val="0"/>
        <w:jc w:val="left"/>
        <w:rPr>
          <w:lang w:eastAsia="lv-LV"/>
        </w:rPr>
      </w:pPr>
      <w:bookmarkStart w:id="47" w:name="_Toc119072225"/>
      <w:r w:rsidRPr="00454639">
        <w:rPr>
          <w:lang w:eastAsia="lv-LV"/>
        </w:rPr>
        <w:t>Sadarbība starp komersantiem, zinātniskajām institūcijām un augstākās izglītības institūcijām</w:t>
      </w:r>
      <w:bookmarkEnd w:id="47"/>
    </w:p>
    <w:p w14:paraId="442209B2" w14:textId="4BCC5A97" w:rsidR="00B12566" w:rsidRDefault="00B12566" w:rsidP="00B12566">
      <w:pPr>
        <w:pStyle w:val="Heading2"/>
        <w:rPr>
          <w:lang w:eastAsia="lv-LV"/>
        </w:rPr>
      </w:pPr>
      <w:bookmarkStart w:id="48" w:name="_Toc119072226"/>
      <w:r>
        <w:rPr>
          <w:lang w:eastAsia="lv-LV"/>
        </w:rPr>
        <w:t>Esošā sadarbība</w:t>
      </w:r>
      <w:bookmarkEnd w:id="48"/>
    </w:p>
    <w:p w14:paraId="412B6FEF" w14:textId="77777777" w:rsidR="007C6AB7" w:rsidRPr="00C948F2" w:rsidRDefault="007C6AB7" w:rsidP="007C6AB7">
      <w:r w:rsidRPr="00C948F2">
        <w:t xml:space="preserve">Pamatojoties uz Latvijas zinātnes starptautisko novērtējumu, secināms, ka nozarē ir tikai dažas zinātniskās institūcijas ar labu un lielisku sniegumu. Visaugstāk ir novērtēts Organiskās sintēzes institūts, kam ir piešķirts vērtējums 5 (spēcīgs starptautisks dalībnieks, līderis savā jomā), bet trīs zinātniskās institūcijas ir saņēmušas vērtējumu 4 (spēcīgs starptautisks dalībnieks, labs sniegums, darbība turpināma) — Paula Stradiņā Klīniskā universitātes slimnīca, Latvijas Valsts koksnes ķīmijas institūts un Latvijas Biomedicīnas pētījumu un studiju centrs. Ar vērtējumu 3 (spēcīgs vietējais dalībnieks, kas ir jāizvērtē un kura kapacitāte ir jāstiprina) ir novērtēts LU Ķīmiskās fizikas institūts, RTU Biomedicīnas inženierzinātņu un nanotehnoloģiju institūts, RTU Materiālu un konstrukciju institūts, RTU Neorganiskās ķīmijas institūts, RTU Organiskās ķīmijas tehnoloģijas institūts, RTU </w:t>
      </w:r>
      <w:hyperlink r:id="rId44" w:history="1">
        <w:r w:rsidRPr="00C948F2">
          <w:t>Vispārīgās ķīmijas tehnoloģijas institūts</w:t>
        </w:r>
      </w:hyperlink>
      <w:r w:rsidRPr="00C948F2">
        <w:t xml:space="preserve"> un RSU Medicīnas fakultāte. Vairāki nozares institūti ir novērtēti arī ar 2 un 1, kas nozīmē, ka to darbība ir jāizvērtē un, visticamāk, tās ir jāapvieno ar citām institūcijām.</w:t>
      </w:r>
      <w:r w:rsidRPr="00C948F2">
        <w:rPr>
          <w:rStyle w:val="FootnoteReference"/>
          <w:sz w:val="16"/>
          <w:vertAlign w:val="baseline"/>
        </w:rPr>
        <w:footnoteReference w:id="56"/>
      </w:r>
    </w:p>
    <w:p w14:paraId="3A71FAF7" w14:textId="77777777" w:rsidR="007C6AB7" w:rsidRPr="00C9295B" w:rsidRDefault="007C6AB7" w:rsidP="007C6AB7">
      <w:pPr>
        <w:rPr>
          <w:highlight w:val="yellow"/>
        </w:rPr>
      </w:pPr>
      <w:r w:rsidRPr="00C948F2">
        <w:t xml:space="preserve">Plašāks apraksts par esošajām sadarbības un potenciālajām </w:t>
      </w:r>
      <w:r w:rsidRPr="00446E1C">
        <w:t>institūcijām punktā 1.1.2.</w:t>
      </w:r>
    </w:p>
    <w:p w14:paraId="79BC202E" w14:textId="1CF6B8A0" w:rsidR="007C6AB7" w:rsidRPr="007C6AB7" w:rsidRDefault="007C6AB7" w:rsidP="007C6AB7">
      <w:r w:rsidRPr="00C948F2">
        <w:t>Zinātnes un pētniecības organizāciju materiāli tehniskais aprīkojums pēdējos desmit gados ir ievērojami uzlabojies, jo gan par valsts, gan dažādu fondu projektu līdzekļiem ir iegādātas dažādas iekārtas. Neskatoties uz to, patlaban nav sistēmas, kā uzņēmēji var uzzināt par zinātnisko un pētniecības organizāciju piedāvātajiem pakalpojumiem.</w:t>
      </w:r>
    </w:p>
    <w:p w14:paraId="7030788A" w14:textId="5AD525AC" w:rsidR="00B12566" w:rsidRDefault="00B12566" w:rsidP="00B12566">
      <w:r>
        <w:t xml:space="preserve">Uzņēmēji sadarbību ar zinātnes un pētniecības organizācijām kopumā vērtē kā viduvēju, kā galveno trūkumu minot zinātnieku neieinteresētību sadarboties ar uzņēmumiem un pētīt uzņēmumu problēmas. Kā trūkumi tiek minēti arī nespēja izprast uzņēmuma vajadzības un arī salīdzinoši augstās cenas par pakalpojumiem. </w:t>
      </w:r>
    </w:p>
    <w:p w14:paraId="0E8D3435" w14:textId="18D1F05C" w:rsidR="00B12566" w:rsidRDefault="00B12566" w:rsidP="00B12566">
      <w:r>
        <w:lastRenderedPageBreak/>
        <w:t xml:space="preserve">Nozares uzņēmumu sadarbību ar zinātniskajām institūcijām kavē arī nelīdzsvarotais piedāvājums un pieprasījums. </w:t>
      </w:r>
      <w:r w:rsidRPr="007D1E90">
        <w:t xml:space="preserve">Vairāki uzņēmumi </w:t>
      </w:r>
      <w:r>
        <w:t>uzsvēra to, ka zinātnes un pētniecības organizācijas nav ieinteresētas strādāt ar maza apjoma pētījumiem (ar pakalpojuma summu līdz EUR 10 000). Savukārt vienai no Latvijas vadošajām zinātnes un pētniecības organizācijām — OSI — ir tik liels pieprasījums pēc pakalpojumiem, ka tā nevar tos piedāvāt visiem interesentiem, līdz ar to</w:t>
      </w:r>
      <w:r w:rsidR="005B46BC">
        <w:t xml:space="preserve">, </w:t>
      </w:r>
      <w:r>
        <w:t>vai nu jāgaida rindā (2-3 gadus), vai arī jāmeklē citi pakalpojumu sniedzēji.</w:t>
      </w:r>
    </w:p>
    <w:p w14:paraId="5A188249" w14:textId="77777777" w:rsidR="00B12566" w:rsidRPr="00D30532" w:rsidRDefault="00B12566" w:rsidP="00B12566">
      <w:r w:rsidRPr="00D30532">
        <w:t xml:space="preserve">Valstī līdz šim ir izveidoti divi ar nozares tēmām saistīti valsts nozīmes pētniecības centri, kurus kā bāzi iespējams izmantot </w:t>
      </w:r>
      <w:r>
        <w:t>turpmākai</w:t>
      </w:r>
      <w:r w:rsidRPr="00D30532">
        <w:t xml:space="preserve"> nozares pētniecības attīstībai:</w:t>
      </w:r>
    </w:p>
    <w:p w14:paraId="794B0AB9" w14:textId="77777777" w:rsidR="00B12566" w:rsidRDefault="00B12566" w:rsidP="00B12566">
      <w:pPr>
        <w:pStyle w:val="2LBulletsF"/>
      </w:pPr>
      <w:r>
        <w:t>Farmācijas un biomedicīnas Valsts nozīmes pētniecības centrs;</w:t>
      </w:r>
    </w:p>
    <w:p w14:paraId="0EA041C1" w14:textId="77777777" w:rsidR="00117AA0" w:rsidRPr="00F91137" w:rsidRDefault="00B12566" w:rsidP="00B12566">
      <w:pPr>
        <w:pStyle w:val="2LBulletsF"/>
      </w:pPr>
      <w:r w:rsidRPr="00F91137">
        <w:t xml:space="preserve">Nanostrukturēto un daudzfunkcionālo materiālu, konstrukciju un tehnoloģiju Valsts </w:t>
      </w:r>
    </w:p>
    <w:p w14:paraId="4EE7641A" w14:textId="4AD5FEE4" w:rsidR="00B12566" w:rsidRDefault="00B12566" w:rsidP="00B12566">
      <w:pPr>
        <w:pStyle w:val="2LBulletsF"/>
      </w:pPr>
      <w:r w:rsidRPr="00F91137">
        <w:t>nozīmes pētniecības centrs.</w:t>
      </w:r>
    </w:p>
    <w:tbl>
      <w:tblPr>
        <w:tblStyle w:val="GridTable2-Accent1"/>
        <w:tblW w:w="0" w:type="auto"/>
        <w:tblLook w:val="06A0" w:firstRow="1" w:lastRow="0" w:firstColumn="1" w:lastColumn="0" w:noHBand="1" w:noVBand="1"/>
      </w:tblPr>
      <w:tblGrid>
        <w:gridCol w:w="2502"/>
        <w:gridCol w:w="2560"/>
        <w:gridCol w:w="3250"/>
      </w:tblGrid>
      <w:tr w:rsidR="00117AA0" w:rsidRPr="00117AA0" w14:paraId="157436E3" w14:textId="77777777" w:rsidTr="00117AA0">
        <w:trPr>
          <w:cnfStyle w:val="100000000000" w:firstRow="1" w:lastRow="0" w:firstColumn="0" w:lastColumn="0" w:oddVBand="0" w:evenVBand="0" w:oddHBand="0" w:evenHBand="0" w:firstRowFirstColumn="0" w:firstRowLastColumn="0" w:lastRowFirstColumn="0" w:lastRowLastColumn="0"/>
          <w:trHeight w:val="1455"/>
        </w:trPr>
        <w:tc>
          <w:tcPr>
            <w:cnfStyle w:val="001000000000" w:firstRow="0" w:lastRow="0" w:firstColumn="1" w:lastColumn="0" w:oddVBand="0" w:evenVBand="0" w:oddHBand="0" w:evenHBand="0" w:firstRowFirstColumn="0" w:firstRowLastColumn="0" w:lastRowFirstColumn="0" w:lastRowLastColumn="0"/>
            <w:tcW w:w="0" w:type="auto"/>
            <w:hideMark/>
          </w:tcPr>
          <w:p w14:paraId="6718A098" w14:textId="77777777" w:rsidR="00117AA0" w:rsidRPr="00117AA0" w:rsidRDefault="00117AA0" w:rsidP="00117AA0">
            <w:r w:rsidRPr="00117AA0">
              <w:t xml:space="preserve">Farmācijas, bimedicīnas, medicīnas tehnoloģiju </w:t>
            </w:r>
          </w:p>
        </w:tc>
        <w:tc>
          <w:tcPr>
            <w:tcW w:w="0" w:type="auto"/>
            <w:hideMark/>
          </w:tcPr>
          <w:p w14:paraId="36D5DDAE" w14:textId="77777777" w:rsidR="00117AA0" w:rsidRPr="00117AA0" w:rsidRDefault="00117AA0" w:rsidP="00117AA0">
            <w:pPr>
              <w:cnfStyle w:val="100000000000" w:firstRow="1" w:lastRow="0" w:firstColumn="0" w:lastColumn="0" w:oddVBand="0" w:evenVBand="0" w:oddHBand="0" w:evenHBand="0" w:firstRowFirstColumn="0" w:firstRowLastColumn="0" w:lastRowFirstColumn="0" w:lastRowLastColumn="0"/>
            </w:pPr>
            <w:r w:rsidRPr="00117AA0">
              <w:t>Ir regulāra sadarbība ar zinātniskajām institūcijām</w:t>
            </w:r>
          </w:p>
        </w:tc>
        <w:tc>
          <w:tcPr>
            <w:tcW w:w="0" w:type="auto"/>
            <w:hideMark/>
          </w:tcPr>
          <w:p w14:paraId="45A63CB8" w14:textId="77777777" w:rsidR="00117AA0" w:rsidRPr="00117AA0" w:rsidRDefault="00117AA0" w:rsidP="00117AA0">
            <w:pPr>
              <w:cnfStyle w:val="100000000000" w:firstRow="1" w:lastRow="0" w:firstColumn="0" w:lastColumn="0" w:oddVBand="0" w:evenVBand="0" w:oddHBand="0" w:evenHBand="0" w:firstRowFirstColumn="0" w:firstRowLastColumn="0" w:lastRowFirstColumn="0" w:lastRowLastColumn="0"/>
            </w:pPr>
            <w:r w:rsidRPr="00117AA0">
              <w:t>Zinātniekiem ir iekārtas, gribētos regulārāku un ieinteresētāku sadarbību</w:t>
            </w:r>
          </w:p>
        </w:tc>
      </w:tr>
      <w:tr w:rsidR="00117AA0" w:rsidRPr="00117AA0" w14:paraId="1D50CDB7" w14:textId="77777777" w:rsidTr="00117AA0">
        <w:trPr>
          <w:trHeight w:val="495"/>
        </w:trPr>
        <w:tc>
          <w:tcPr>
            <w:cnfStyle w:val="001000000000" w:firstRow="0" w:lastRow="0" w:firstColumn="1" w:lastColumn="0" w:oddVBand="0" w:evenVBand="0" w:oddHBand="0" w:evenHBand="0" w:firstRowFirstColumn="0" w:firstRowLastColumn="0" w:lastRowFirstColumn="0" w:lastRowLastColumn="0"/>
            <w:tcW w:w="0" w:type="auto"/>
            <w:hideMark/>
          </w:tcPr>
          <w:p w14:paraId="266A665A" w14:textId="77777777" w:rsidR="00117AA0" w:rsidRPr="00117AA0" w:rsidRDefault="00117AA0" w:rsidP="00117AA0">
            <w:r w:rsidRPr="00117AA0">
              <w:t>Aktīvo vielu sintēze</w:t>
            </w:r>
          </w:p>
        </w:tc>
        <w:tc>
          <w:tcPr>
            <w:tcW w:w="0" w:type="auto"/>
            <w:hideMark/>
          </w:tcPr>
          <w:p w14:paraId="5AE553E6" w14:textId="738FB082" w:rsidR="00117AA0" w:rsidRPr="00117AA0" w:rsidRDefault="00117AA0" w:rsidP="00117AA0">
            <w:pPr>
              <w:jc w:val="center"/>
              <w:cnfStyle w:val="000000000000" w:firstRow="0" w:lastRow="0" w:firstColumn="0" w:lastColumn="0" w:oddVBand="0" w:evenVBand="0" w:oddHBand="0" w:evenHBand="0" w:firstRowFirstColumn="0" w:firstRowLastColumn="0" w:lastRowFirstColumn="0" w:lastRowLastColumn="0"/>
            </w:pPr>
            <w:r w:rsidRPr="00117AA0">
              <w:t>OSI, RTU</w:t>
            </w:r>
          </w:p>
        </w:tc>
        <w:tc>
          <w:tcPr>
            <w:tcW w:w="0" w:type="auto"/>
            <w:hideMark/>
          </w:tcPr>
          <w:p w14:paraId="2AD08A27" w14:textId="77777777" w:rsidR="00117AA0" w:rsidRPr="00117AA0" w:rsidRDefault="00117AA0" w:rsidP="00117AA0">
            <w:pPr>
              <w:jc w:val="center"/>
              <w:cnfStyle w:val="000000000000" w:firstRow="0" w:lastRow="0" w:firstColumn="0" w:lastColumn="0" w:oddVBand="0" w:evenVBand="0" w:oddHBand="0" w:evenHBand="0" w:firstRowFirstColumn="0" w:firstRowLastColumn="0" w:lastRowFirstColumn="0" w:lastRowLastColumn="0"/>
            </w:pPr>
            <w:r w:rsidRPr="00117AA0">
              <w:t>RSU, LU, BMC (biotehn.)</w:t>
            </w:r>
          </w:p>
        </w:tc>
      </w:tr>
      <w:tr w:rsidR="00117AA0" w:rsidRPr="00117AA0" w14:paraId="19178756" w14:textId="77777777" w:rsidTr="00117AA0">
        <w:trPr>
          <w:trHeight w:val="783"/>
        </w:trPr>
        <w:tc>
          <w:tcPr>
            <w:cnfStyle w:val="001000000000" w:firstRow="0" w:lastRow="0" w:firstColumn="1" w:lastColumn="0" w:oddVBand="0" w:evenVBand="0" w:oddHBand="0" w:evenHBand="0" w:firstRowFirstColumn="0" w:firstRowLastColumn="0" w:lastRowFirstColumn="0" w:lastRowLastColumn="0"/>
            <w:tcW w:w="0" w:type="auto"/>
            <w:hideMark/>
          </w:tcPr>
          <w:p w14:paraId="3FF0AD43" w14:textId="77777777" w:rsidR="00117AA0" w:rsidRPr="00117AA0" w:rsidRDefault="00117AA0" w:rsidP="00117AA0">
            <w:r w:rsidRPr="00117AA0">
              <w:t>Dabas vielu ekstrakcija un raksturošana</w:t>
            </w:r>
          </w:p>
        </w:tc>
        <w:tc>
          <w:tcPr>
            <w:tcW w:w="0" w:type="auto"/>
            <w:hideMark/>
          </w:tcPr>
          <w:p w14:paraId="0F33BDA2" w14:textId="77777777" w:rsidR="00117AA0" w:rsidRPr="00117AA0" w:rsidRDefault="00117AA0" w:rsidP="00117AA0">
            <w:pPr>
              <w:jc w:val="center"/>
              <w:cnfStyle w:val="000000000000" w:firstRow="0" w:lastRow="0" w:firstColumn="0" w:lastColumn="0" w:oddVBand="0" w:evenVBand="0" w:oddHBand="0" w:evenHBand="0" w:firstRowFirstColumn="0" w:firstRowLastColumn="0" w:lastRowFirstColumn="0" w:lastRowLastColumn="0"/>
            </w:pPr>
            <w:r w:rsidRPr="00117AA0">
              <w:t>OSI, RTU</w:t>
            </w:r>
          </w:p>
        </w:tc>
        <w:tc>
          <w:tcPr>
            <w:tcW w:w="0" w:type="auto"/>
            <w:hideMark/>
          </w:tcPr>
          <w:p w14:paraId="4EFE9E9B" w14:textId="77777777" w:rsidR="00117AA0" w:rsidRPr="00117AA0" w:rsidRDefault="00117AA0" w:rsidP="00117AA0">
            <w:pPr>
              <w:jc w:val="center"/>
              <w:cnfStyle w:val="000000000000" w:firstRow="0" w:lastRow="0" w:firstColumn="0" w:lastColumn="0" w:oddVBand="0" w:evenVBand="0" w:oddHBand="0" w:evenHBand="0" w:firstRowFirstColumn="0" w:firstRowLastColumn="0" w:lastRowFirstColumn="0" w:lastRowLastColumn="0"/>
            </w:pPr>
            <w:r w:rsidRPr="00117AA0">
              <w:t>BMC, LU</w:t>
            </w:r>
          </w:p>
        </w:tc>
      </w:tr>
      <w:tr w:rsidR="00117AA0" w:rsidRPr="00117AA0" w14:paraId="04F862AB" w14:textId="77777777" w:rsidTr="00117AA0">
        <w:trPr>
          <w:trHeight w:val="495"/>
        </w:trPr>
        <w:tc>
          <w:tcPr>
            <w:cnfStyle w:val="001000000000" w:firstRow="0" w:lastRow="0" w:firstColumn="1" w:lastColumn="0" w:oddVBand="0" w:evenVBand="0" w:oddHBand="0" w:evenHBand="0" w:firstRowFirstColumn="0" w:firstRowLastColumn="0" w:lastRowFirstColumn="0" w:lastRowLastColumn="0"/>
            <w:tcW w:w="0" w:type="auto"/>
            <w:hideMark/>
          </w:tcPr>
          <w:p w14:paraId="36AFBEB7" w14:textId="77777777" w:rsidR="00117AA0" w:rsidRPr="00117AA0" w:rsidRDefault="00117AA0" w:rsidP="00117AA0">
            <w:r w:rsidRPr="00117AA0">
              <w:t>Gatavās zāļu formas</w:t>
            </w:r>
          </w:p>
        </w:tc>
        <w:tc>
          <w:tcPr>
            <w:tcW w:w="0" w:type="auto"/>
            <w:hideMark/>
          </w:tcPr>
          <w:p w14:paraId="0F344F78" w14:textId="77777777" w:rsidR="00117AA0" w:rsidRPr="00117AA0" w:rsidRDefault="00117AA0" w:rsidP="00117AA0">
            <w:pPr>
              <w:jc w:val="center"/>
              <w:cnfStyle w:val="000000000000" w:firstRow="0" w:lastRow="0" w:firstColumn="0" w:lastColumn="0" w:oddVBand="0" w:evenVBand="0" w:oddHBand="0" w:evenHBand="0" w:firstRowFirstColumn="0" w:firstRowLastColumn="0" w:lastRowFirstColumn="0" w:lastRowLastColumn="0"/>
            </w:pPr>
            <w:r w:rsidRPr="00117AA0">
              <w:t>---</w:t>
            </w:r>
          </w:p>
        </w:tc>
        <w:tc>
          <w:tcPr>
            <w:tcW w:w="0" w:type="auto"/>
            <w:hideMark/>
          </w:tcPr>
          <w:p w14:paraId="64D97207" w14:textId="77777777" w:rsidR="00117AA0" w:rsidRPr="00117AA0" w:rsidRDefault="00117AA0" w:rsidP="00117AA0">
            <w:pPr>
              <w:jc w:val="center"/>
              <w:cnfStyle w:val="000000000000" w:firstRow="0" w:lastRow="0" w:firstColumn="0" w:lastColumn="0" w:oddVBand="0" w:evenVBand="0" w:oddHBand="0" w:evenHBand="0" w:firstRowFirstColumn="0" w:firstRowLastColumn="0" w:lastRowFirstColumn="0" w:lastRowLastColumn="0"/>
            </w:pPr>
            <w:r w:rsidRPr="00117AA0">
              <w:t>---</w:t>
            </w:r>
          </w:p>
        </w:tc>
      </w:tr>
      <w:tr w:rsidR="00117AA0" w:rsidRPr="00117AA0" w14:paraId="55F2A2BD" w14:textId="77777777" w:rsidTr="00117AA0">
        <w:trPr>
          <w:trHeight w:val="495"/>
        </w:trPr>
        <w:tc>
          <w:tcPr>
            <w:cnfStyle w:val="001000000000" w:firstRow="0" w:lastRow="0" w:firstColumn="1" w:lastColumn="0" w:oddVBand="0" w:evenVBand="0" w:oddHBand="0" w:evenHBand="0" w:firstRowFirstColumn="0" w:firstRowLastColumn="0" w:lastRowFirstColumn="0" w:lastRowLastColumn="0"/>
            <w:tcW w:w="0" w:type="auto"/>
            <w:hideMark/>
          </w:tcPr>
          <w:p w14:paraId="47EDF1B8" w14:textId="77777777" w:rsidR="00117AA0" w:rsidRPr="00117AA0" w:rsidRDefault="00117AA0" w:rsidP="00117AA0">
            <w:r w:rsidRPr="00117AA0">
              <w:t>Zāļu analītiskā raksturošana</w:t>
            </w:r>
          </w:p>
        </w:tc>
        <w:tc>
          <w:tcPr>
            <w:tcW w:w="0" w:type="auto"/>
            <w:hideMark/>
          </w:tcPr>
          <w:p w14:paraId="0E5EF125" w14:textId="77777777" w:rsidR="00117AA0" w:rsidRPr="00117AA0" w:rsidRDefault="00117AA0" w:rsidP="00117AA0">
            <w:pPr>
              <w:jc w:val="center"/>
              <w:cnfStyle w:val="000000000000" w:firstRow="0" w:lastRow="0" w:firstColumn="0" w:lastColumn="0" w:oddVBand="0" w:evenVBand="0" w:oddHBand="0" w:evenHBand="0" w:firstRowFirstColumn="0" w:firstRowLastColumn="0" w:lastRowFirstColumn="0" w:lastRowLastColumn="0"/>
            </w:pPr>
            <w:r w:rsidRPr="00117AA0">
              <w:t>OSI, RTU, BIOR</w:t>
            </w:r>
          </w:p>
        </w:tc>
        <w:tc>
          <w:tcPr>
            <w:tcW w:w="0" w:type="auto"/>
            <w:hideMark/>
          </w:tcPr>
          <w:p w14:paraId="6B55CEFD" w14:textId="77777777" w:rsidR="00117AA0" w:rsidRPr="00117AA0" w:rsidRDefault="00117AA0" w:rsidP="00117AA0">
            <w:pPr>
              <w:jc w:val="center"/>
              <w:cnfStyle w:val="000000000000" w:firstRow="0" w:lastRow="0" w:firstColumn="0" w:lastColumn="0" w:oddVBand="0" w:evenVBand="0" w:oddHBand="0" w:evenHBand="0" w:firstRowFirstColumn="0" w:firstRowLastColumn="0" w:lastRowFirstColumn="0" w:lastRowLastColumn="0"/>
            </w:pPr>
            <w:r w:rsidRPr="00117AA0">
              <w:t>RSU, LU, BMC</w:t>
            </w:r>
          </w:p>
        </w:tc>
      </w:tr>
      <w:tr w:rsidR="00117AA0" w:rsidRPr="00117AA0" w14:paraId="1DF158EF" w14:textId="77777777" w:rsidTr="00117AA0">
        <w:trPr>
          <w:trHeight w:val="940"/>
        </w:trPr>
        <w:tc>
          <w:tcPr>
            <w:cnfStyle w:val="001000000000" w:firstRow="0" w:lastRow="0" w:firstColumn="1" w:lastColumn="0" w:oddVBand="0" w:evenVBand="0" w:oddHBand="0" w:evenHBand="0" w:firstRowFirstColumn="0" w:firstRowLastColumn="0" w:lastRowFirstColumn="0" w:lastRowLastColumn="0"/>
            <w:tcW w:w="0" w:type="auto"/>
            <w:hideMark/>
          </w:tcPr>
          <w:p w14:paraId="585A1CFA" w14:textId="77777777" w:rsidR="00117AA0" w:rsidRPr="00117AA0" w:rsidRDefault="00117AA0" w:rsidP="00117AA0">
            <w:r w:rsidRPr="00117AA0">
              <w:t>Priekšklīniskie pētījumi</w:t>
            </w:r>
          </w:p>
        </w:tc>
        <w:tc>
          <w:tcPr>
            <w:tcW w:w="0" w:type="auto"/>
            <w:hideMark/>
          </w:tcPr>
          <w:p w14:paraId="14168761" w14:textId="77777777" w:rsidR="00117AA0" w:rsidRPr="00117AA0" w:rsidRDefault="00117AA0" w:rsidP="00117AA0">
            <w:pPr>
              <w:jc w:val="center"/>
              <w:cnfStyle w:val="000000000000" w:firstRow="0" w:lastRow="0" w:firstColumn="0" w:lastColumn="0" w:oddVBand="0" w:evenVBand="0" w:oddHBand="0" w:evenHBand="0" w:firstRowFirstColumn="0" w:firstRowLastColumn="0" w:lastRowFirstColumn="0" w:lastRowLastColumn="0"/>
            </w:pPr>
            <w:r w:rsidRPr="00117AA0">
              <w:t>OSI, RSU, LLU, LU</w:t>
            </w:r>
          </w:p>
        </w:tc>
        <w:tc>
          <w:tcPr>
            <w:tcW w:w="0" w:type="auto"/>
            <w:hideMark/>
          </w:tcPr>
          <w:p w14:paraId="3F543E93" w14:textId="77777777" w:rsidR="00117AA0" w:rsidRPr="00117AA0" w:rsidRDefault="00117AA0" w:rsidP="00117AA0">
            <w:pPr>
              <w:jc w:val="center"/>
              <w:cnfStyle w:val="000000000000" w:firstRow="0" w:lastRow="0" w:firstColumn="0" w:lastColumn="0" w:oddVBand="0" w:evenVBand="0" w:oddHBand="0" w:evenHBand="0" w:firstRowFirstColumn="0" w:firstRowLastColumn="0" w:lastRowFirstColumn="0" w:lastRowLastColumn="0"/>
            </w:pPr>
            <w:r w:rsidRPr="00117AA0">
              <w:t>---</w:t>
            </w:r>
          </w:p>
        </w:tc>
      </w:tr>
      <w:tr w:rsidR="00117AA0" w:rsidRPr="00117AA0" w14:paraId="17B2DAD7" w14:textId="77777777" w:rsidTr="00117AA0">
        <w:trPr>
          <w:trHeight w:val="942"/>
        </w:trPr>
        <w:tc>
          <w:tcPr>
            <w:cnfStyle w:val="001000000000" w:firstRow="0" w:lastRow="0" w:firstColumn="1" w:lastColumn="0" w:oddVBand="0" w:evenVBand="0" w:oddHBand="0" w:evenHBand="0" w:firstRowFirstColumn="0" w:firstRowLastColumn="0" w:lastRowFirstColumn="0" w:lastRowLastColumn="0"/>
            <w:tcW w:w="0" w:type="auto"/>
            <w:hideMark/>
          </w:tcPr>
          <w:p w14:paraId="4EED7FE5" w14:textId="77777777" w:rsidR="00117AA0" w:rsidRPr="00117AA0" w:rsidRDefault="00117AA0" w:rsidP="00117AA0">
            <w:r w:rsidRPr="00117AA0">
              <w:t>Klīniskie pētījumi, I fāze</w:t>
            </w:r>
          </w:p>
        </w:tc>
        <w:tc>
          <w:tcPr>
            <w:tcW w:w="0" w:type="auto"/>
            <w:hideMark/>
          </w:tcPr>
          <w:p w14:paraId="08506171" w14:textId="77777777" w:rsidR="00117AA0" w:rsidRPr="00117AA0" w:rsidRDefault="00117AA0" w:rsidP="00117AA0">
            <w:pPr>
              <w:jc w:val="center"/>
              <w:cnfStyle w:val="000000000000" w:firstRow="0" w:lastRow="0" w:firstColumn="0" w:lastColumn="0" w:oddVBand="0" w:evenVBand="0" w:oddHBand="0" w:evenHBand="0" w:firstRowFirstColumn="0" w:firstRowLastColumn="0" w:lastRowFirstColumn="0" w:lastRowLastColumn="0"/>
            </w:pPr>
            <w:r w:rsidRPr="00117AA0">
              <w:t>---</w:t>
            </w:r>
          </w:p>
        </w:tc>
        <w:tc>
          <w:tcPr>
            <w:tcW w:w="0" w:type="auto"/>
            <w:hideMark/>
          </w:tcPr>
          <w:p w14:paraId="0EB6D916" w14:textId="77777777" w:rsidR="00117AA0" w:rsidRPr="00117AA0" w:rsidRDefault="00117AA0" w:rsidP="00117AA0">
            <w:pPr>
              <w:jc w:val="center"/>
              <w:cnfStyle w:val="000000000000" w:firstRow="0" w:lastRow="0" w:firstColumn="0" w:lastColumn="0" w:oddVBand="0" w:evenVBand="0" w:oddHBand="0" w:evenHBand="0" w:firstRowFirstColumn="0" w:firstRowLastColumn="0" w:lastRowFirstColumn="0" w:lastRowLastColumn="0"/>
            </w:pPr>
            <w:r w:rsidRPr="00117AA0">
              <w:t>---</w:t>
            </w:r>
          </w:p>
        </w:tc>
      </w:tr>
      <w:tr w:rsidR="00117AA0" w:rsidRPr="00117AA0" w14:paraId="73031FCC" w14:textId="77777777" w:rsidTr="00117AA0">
        <w:trPr>
          <w:trHeight w:val="745"/>
        </w:trPr>
        <w:tc>
          <w:tcPr>
            <w:cnfStyle w:val="001000000000" w:firstRow="0" w:lastRow="0" w:firstColumn="1" w:lastColumn="0" w:oddVBand="0" w:evenVBand="0" w:oddHBand="0" w:evenHBand="0" w:firstRowFirstColumn="0" w:firstRowLastColumn="0" w:lastRowFirstColumn="0" w:lastRowLastColumn="0"/>
            <w:tcW w:w="0" w:type="auto"/>
            <w:gridSpan w:val="3"/>
            <w:hideMark/>
          </w:tcPr>
          <w:p w14:paraId="43822646" w14:textId="63D670C8" w:rsidR="00117AA0" w:rsidRPr="00117AA0" w:rsidRDefault="00117AA0" w:rsidP="00117AA0">
            <w:pPr>
              <w:keepNext/>
            </w:pPr>
            <w:r w:rsidRPr="00117AA0">
              <w:t xml:space="preserve">--- līdz ar to </w:t>
            </w:r>
            <w:r w:rsidR="005B46BC">
              <w:t>pasūtījumi tiek veikti</w:t>
            </w:r>
            <w:r w:rsidRPr="00117AA0">
              <w:t xml:space="preserve"> ārzemēs CZ, UK, GER, FIN, EE, LT </w:t>
            </w:r>
          </w:p>
        </w:tc>
      </w:tr>
    </w:tbl>
    <w:p w14:paraId="087680E9" w14:textId="329D33F9" w:rsidR="00117AA0" w:rsidRDefault="00117AA0">
      <w:pPr>
        <w:pStyle w:val="Caption"/>
      </w:pPr>
      <w:r>
        <w:t xml:space="preserve">Tabula </w:t>
      </w:r>
      <w:r w:rsidR="009B704C">
        <w:rPr>
          <w:noProof/>
        </w:rPr>
        <w:fldChar w:fldCharType="begin"/>
      </w:r>
      <w:r w:rsidR="009B704C">
        <w:rPr>
          <w:noProof/>
        </w:rPr>
        <w:instrText xml:space="preserve"> SEQ Tabula \* ARABIC </w:instrText>
      </w:r>
      <w:r w:rsidR="009B704C">
        <w:rPr>
          <w:noProof/>
        </w:rPr>
        <w:fldChar w:fldCharType="separate"/>
      </w:r>
      <w:r w:rsidR="0066799B">
        <w:rPr>
          <w:noProof/>
        </w:rPr>
        <w:t>3</w:t>
      </w:r>
      <w:r w:rsidR="009B704C">
        <w:rPr>
          <w:noProof/>
        </w:rPr>
        <w:fldChar w:fldCharType="end"/>
      </w:r>
      <w:r>
        <w:t xml:space="preserve">. Farmācijas </w:t>
      </w:r>
      <w:r>
        <w:rPr>
          <w:noProof/>
        </w:rPr>
        <w:t xml:space="preserve"> uzņēmumu šodienas sadarbība ar LV zinātni. Avots LAKIFA).</w:t>
      </w:r>
    </w:p>
    <w:p w14:paraId="46A527E0" w14:textId="77777777" w:rsidR="00117AA0" w:rsidRDefault="00117AA0" w:rsidP="00B12566"/>
    <w:p w14:paraId="1DF80DE4" w14:textId="7ECDD714" w:rsidR="00B12566" w:rsidRDefault="00B12566" w:rsidP="00B12566">
      <w:r w:rsidRPr="00E67A0E">
        <w:lastRenderedPageBreak/>
        <w:t xml:space="preserve">Lai </w:t>
      </w:r>
      <w:r>
        <w:t>saglabātu noteiktās</w:t>
      </w:r>
      <w:r w:rsidRPr="00E67A0E">
        <w:t xml:space="preserve"> priekšrocības, kas ir saistītas ar darbību nišas produktu tirgū, </w:t>
      </w:r>
      <w:r>
        <w:t>papildus</w:t>
      </w:r>
      <w:r w:rsidRPr="00E67A0E">
        <w:t xml:space="preserve"> augstas kvalifikācijas darbaspēka pieejamība</w:t>
      </w:r>
      <w:r>
        <w:t>i</w:t>
      </w:r>
      <w:r w:rsidRPr="00E67A0E">
        <w:t xml:space="preserve"> ir nepieciešams veikt arī ievērojamas investīcijas jaunu produktu un esošo produktu lētāku un kvalitatīvāku analog</w:t>
      </w:r>
      <w:r>
        <w:t>u</w:t>
      </w:r>
      <w:r w:rsidRPr="00E67A0E">
        <w:t xml:space="preserve"> produktu izstrādē. </w:t>
      </w:r>
      <w:r>
        <w:t>Uzņēmumu</w:t>
      </w:r>
      <w:r w:rsidRPr="00E67A0E">
        <w:t xml:space="preserve"> sniegtā informācija ļauj </w:t>
      </w:r>
      <w:r>
        <w:t>noteikt</w:t>
      </w:r>
      <w:r w:rsidRPr="00E67A0E">
        <w:t xml:space="preserve">, ka uzņēmumi veic nozīmīgus iekšējos </w:t>
      </w:r>
      <w:r>
        <w:t>„</w:t>
      </w:r>
      <w:r w:rsidRPr="00E67A0E">
        <w:rPr>
          <w:i/>
        </w:rPr>
        <w:t>in-house</w:t>
      </w:r>
      <w:r>
        <w:t>”</w:t>
      </w:r>
      <w:r w:rsidRPr="00E67A0E">
        <w:t xml:space="preserve"> ieguldījumus produktu izstrādē, vienlaikus </w:t>
      </w:r>
      <w:r>
        <w:t>ļaujot secināt</w:t>
      </w:r>
      <w:r w:rsidRPr="00E67A0E">
        <w:t xml:space="preserve">, ka respondentu sadarbība ar zinātniskajām organizācijām un institūcijām </w:t>
      </w:r>
      <w:r>
        <w:t xml:space="preserve">kopumā </w:t>
      </w:r>
      <w:r w:rsidRPr="00E67A0E">
        <w:t>ir v</w:t>
      </w:r>
      <w:r>
        <w:t xml:space="preserve">āji attīstīta, neregulāra vai </w:t>
      </w:r>
      <w:r w:rsidRPr="00E67A0E">
        <w:t>apstākļu radīta.</w:t>
      </w:r>
      <w:r>
        <w:t xml:space="preserve"> Daļēji tam ir objektīvi iemesli, kas slēpjas mēroga ierobežojamos. Uzņēmumu vajadzību apjoms konkrētā jomā bieži ir pārāk mazs, lai potenciālajam piegādātājam būtu izdevīgi attīstīt kompetenci, tostarp pētniecisko kompetenci, ar mērķi to piegādāt vietējai industrijai. Rezultātā gan pētniecības organizācijas (piemēram</w:t>
      </w:r>
      <w:r w:rsidR="005B46BC">
        <w:t xml:space="preserve">, </w:t>
      </w:r>
      <w:r>
        <w:t>OSI), gan lielākie P&amp;A ieguldītāji uzņēmumu vidū (</w:t>
      </w:r>
      <w:r w:rsidR="00E81988">
        <w:t xml:space="preserve">AS </w:t>
      </w:r>
      <w:r>
        <w:t xml:space="preserve">„Olainfarm” un </w:t>
      </w:r>
      <w:r w:rsidR="00E81988">
        <w:t xml:space="preserve">AS </w:t>
      </w:r>
      <w:r>
        <w:t>„Grindeks”) ir atvērti plašai sadarbībai ārpus Latvijas.</w:t>
      </w:r>
    </w:p>
    <w:p w14:paraId="5039B281" w14:textId="1FC0380D" w:rsidR="00B12566" w:rsidRDefault="00B12566" w:rsidP="00B12566">
      <w:r>
        <w:t>Organiskās sintēzes institūts norādīja, ka bez atbalsta izgudrotājiem uzņēmumu veidošanā, vismaz viena jauna produkta potenciāls netiek izmantots Organiskās sintēzes institūtā vien. Nepieciešamas izmaiņas tiesību aktos, lai nodrošinātu atklājumu komercializācijas aktivitātes sekmējošus apstākļus un komercializācijā iesaistītu privāto sektoru.</w:t>
      </w:r>
    </w:p>
    <w:p w14:paraId="3DBBA044" w14:textId="77777777" w:rsidR="007C6AB7" w:rsidRDefault="007C6AB7" w:rsidP="007C6AB7">
      <w:r>
        <w:t xml:space="preserve">Vērtējot ķīmijas un ar to saistīto nozaru uzņēmumu vajadzības kopumā, Latvijas zinātniskā </w:t>
      </w:r>
      <w:r w:rsidRPr="008E7D80">
        <w:t>kapacitāte ir ierobežota</w:t>
      </w:r>
      <w:r>
        <w:t xml:space="preserve">. Ir jomas, kur tā ir ļoti labi attīstīta (piemēram, organiskā sintēze), bet ir jomas, kuras vispār netiek pētītas, piemēram, gaismas cietējošie pārklājumi. </w:t>
      </w:r>
    </w:p>
    <w:p w14:paraId="6200224C" w14:textId="24A250C6" w:rsidR="007C6AB7" w:rsidRDefault="007C6AB7" w:rsidP="007C6AB7">
      <w:r>
        <w:t xml:space="preserve">Būtiska kapacitāti ierobežojoša problēma ir zinātniskā personāla novecošanās. Nākotnē ir prognozējams vēl izteiktāks kvalificēta zinātniskā personāla trūkums (skat. </w:t>
      </w:r>
      <w:r>
        <w:fldChar w:fldCharType="begin"/>
      </w:r>
      <w:r>
        <w:instrText xml:space="preserve"> REF _Ref400457533 \h </w:instrText>
      </w:r>
      <w:r>
        <w:fldChar w:fldCharType="separate"/>
      </w:r>
      <w:r w:rsidR="0066799B">
        <w:t xml:space="preserve">Ilustrācija </w:t>
      </w:r>
      <w:r w:rsidR="0066799B">
        <w:rPr>
          <w:noProof/>
        </w:rPr>
        <w:t>14</w:t>
      </w:r>
      <w:r>
        <w:fldChar w:fldCharType="end"/>
      </w:r>
      <w:r>
        <w:t xml:space="preserve">). </w:t>
      </w:r>
      <w:r w:rsidR="005B46BC">
        <w:t>Lai gan</w:t>
      </w:r>
      <w:r>
        <w:t xml:space="preserve"> ir salīdzinoši daudz jauno zinātnieku, jāņem vērā, ka vecāki par 50 gadiem ir 44 % no kopējiem zinātnes un pētniecības cilvēkresursiem ķīmijas nozarē, un vecuma grupā no 30 līdz 49 gadiem ir tikai 27 % zinātnieku, kam primāri nākamo 10 gadu laikā būtu jāaizstāj vecākie kolēģi. Pašreizējā situācija nenodrošina zināšanu pārņemšanu un izaugsmi.</w:t>
      </w:r>
    </w:p>
    <w:p w14:paraId="3A30B665" w14:textId="0B61E3EA" w:rsidR="007C6AB7" w:rsidRDefault="007C6AB7" w:rsidP="007C6AB7">
      <w:pPr>
        <w:pStyle w:val="Caption"/>
      </w:pPr>
      <w:bookmarkStart w:id="49" w:name="_Ref400457533"/>
      <w:bookmarkStart w:id="50" w:name="_Toc400468691"/>
      <w:bookmarkStart w:id="51" w:name="_Toc400470508"/>
      <w:bookmarkStart w:id="52" w:name="_Toc400470644"/>
      <w:bookmarkStart w:id="53" w:name="_Toc403055241"/>
      <w:r>
        <w:t xml:space="preserve">Ilustrācija </w:t>
      </w:r>
      <w:r>
        <w:rPr>
          <w:noProof/>
        </w:rPr>
        <w:fldChar w:fldCharType="begin"/>
      </w:r>
      <w:r>
        <w:rPr>
          <w:noProof/>
        </w:rPr>
        <w:instrText xml:space="preserve"> SEQ Ilustrācija \* ARABIC </w:instrText>
      </w:r>
      <w:r>
        <w:rPr>
          <w:noProof/>
        </w:rPr>
        <w:fldChar w:fldCharType="separate"/>
      </w:r>
      <w:r w:rsidR="0066799B">
        <w:rPr>
          <w:noProof/>
        </w:rPr>
        <w:t>14</w:t>
      </w:r>
      <w:r>
        <w:rPr>
          <w:noProof/>
        </w:rPr>
        <w:fldChar w:fldCharType="end"/>
      </w:r>
      <w:bookmarkEnd w:id="49"/>
      <w:r>
        <w:rPr>
          <w:noProof/>
        </w:rPr>
        <w:t>.</w:t>
      </w:r>
      <w:r>
        <w:t xml:space="preserve"> </w:t>
      </w:r>
      <w:r w:rsidRPr="0024294B">
        <w:t>Zinātniskā personāla vecuma struktūra ķīmijas nozarē uz 2013. gada 1. jūliju</w:t>
      </w:r>
      <w:r>
        <w:t xml:space="preserve">. </w:t>
      </w:r>
      <w:r w:rsidRPr="0024294B">
        <w:t>Avots IZM</w:t>
      </w:r>
      <w:r>
        <w:t>.</w:t>
      </w:r>
      <w:bookmarkEnd w:id="50"/>
      <w:bookmarkEnd w:id="51"/>
      <w:bookmarkEnd w:id="52"/>
      <w:bookmarkEnd w:id="53"/>
    </w:p>
    <w:p w14:paraId="79D21309" w14:textId="77777777" w:rsidR="007C6AB7" w:rsidRDefault="007C6AB7" w:rsidP="007C6AB7">
      <w:r w:rsidRPr="00BA0B36">
        <w:rPr>
          <w:noProof/>
          <w:lang w:eastAsia="lv-LV"/>
        </w:rPr>
        <w:drawing>
          <wp:inline distT="0" distB="0" distL="0" distR="0" wp14:anchorId="0F7EFDA8" wp14:editId="15D5CB02">
            <wp:extent cx="5300309" cy="1901431"/>
            <wp:effectExtent l="0" t="0" r="0" b="381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5307248" cy="1903920"/>
                    </a:xfrm>
                    <a:prstGeom prst="rect">
                      <a:avLst/>
                    </a:prstGeom>
                    <a:noFill/>
                    <a:ln>
                      <a:noFill/>
                    </a:ln>
                  </pic:spPr>
                </pic:pic>
              </a:graphicData>
            </a:graphic>
          </wp:inline>
        </w:drawing>
      </w:r>
    </w:p>
    <w:p w14:paraId="0B313204" w14:textId="64AD6D95" w:rsidR="007C6AB7" w:rsidRDefault="007C6AB7" w:rsidP="007C6AB7">
      <w:pPr>
        <w:pStyle w:val="Caption"/>
        <w:keepNext w:val="0"/>
      </w:pPr>
      <w:bookmarkStart w:id="54" w:name="_Ref408657952"/>
      <w:r>
        <w:t xml:space="preserve">Tabula </w:t>
      </w:r>
      <w:r>
        <w:rPr>
          <w:noProof/>
        </w:rPr>
        <w:fldChar w:fldCharType="begin"/>
      </w:r>
      <w:r>
        <w:rPr>
          <w:noProof/>
        </w:rPr>
        <w:instrText xml:space="preserve"> SEQ Tabula \* ARABIC </w:instrText>
      </w:r>
      <w:r>
        <w:rPr>
          <w:noProof/>
        </w:rPr>
        <w:fldChar w:fldCharType="separate"/>
      </w:r>
      <w:r w:rsidR="0066799B">
        <w:rPr>
          <w:noProof/>
        </w:rPr>
        <w:t>4</w:t>
      </w:r>
      <w:r>
        <w:rPr>
          <w:noProof/>
        </w:rPr>
        <w:fldChar w:fldCharType="end"/>
      </w:r>
      <w:bookmarkEnd w:id="54"/>
      <w:r>
        <w:t>. Pētniecības un attīstības personāls pa ķīmijas nozares apakšnozarēm. Avots Eurostat.</w:t>
      </w:r>
    </w:p>
    <w:tbl>
      <w:tblPr>
        <w:tblStyle w:val="PlainTable510"/>
        <w:tblW w:w="0" w:type="auto"/>
        <w:tblLook w:val="04A0" w:firstRow="1" w:lastRow="0" w:firstColumn="1" w:lastColumn="0" w:noHBand="0" w:noVBand="1"/>
      </w:tblPr>
      <w:tblGrid>
        <w:gridCol w:w="4390"/>
        <w:gridCol w:w="1984"/>
        <w:gridCol w:w="1838"/>
      </w:tblGrid>
      <w:tr w:rsidR="007C6AB7" w:rsidRPr="009659D7" w14:paraId="3F76A26A" w14:textId="77777777" w:rsidTr="006E36FB">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390" w:type="dxa"/>
          </w:tcPr>
          <w:p w14:paraId="79586CBC" w14:textId="77777777" w:rsidR="007C6AB7" w:rsidRPr="009659D7" w:rsidRDefault="007C6AB7" w:rsidP="006E36FB">
            <w:pPr>
              <w:pStyle w:val="2LBulletsF"/>
              <w:keepLines/>
              <w:numPr>
                <w:ilvl w:val="0"/>
                <w:numId w:val="0"/>
              </w:numPr>
              <w:shd w:val="clear" w:color="auto" w:fill="auto"/>
            </w:pPr>
            <w:r w:rsidRPr="009659D7">
              <w:t>Sektors</w:t>
            </w:r>
          </w:p>
        </w:tc>
        <w:tc>
          <w:tcPr>
            <w:tcW w:w="1984" w:type="dxa"/>
          </w:tcPr>
          <w:p w14:paraId="50506BB8" w14:textId="77777777" w:rsidR="007C6AB7" w:rsidRPr="009659D7" w:rsidRDefault="007C6AB7" w:rsidP="006E36FB">
            <w:pPr>
              <w:pStyle w:val="2LBulletsF"/>
              <w:keepLines/>
              <w:numPr>
                <w:ilvl w:val="0"/>
                <w:numId w:val="0"/>
              </w:numPr>
              <w:shd w:val="clear" w:color="auto" w:fill="auto"/>
              <w:jc w:val="left"/>
              <w:cnfStyle w:val="100000000000" w:firstRow="1" w:lastRow="0" w:firstColumn="0" w:lastColumn="0" w:oddVBand="0" w:evenVBand="0" w:oddHBand="0" w:evenHBand="0" w:firstRowFirstColumn="0" w:firstRowLastColumn="0" w:lastRowFirstColumn="0" w:lastRowLastColumn="0"/>
            </w:pPr>
            <w:r w:rsidRPr="009659D7">
              <w:t>Pilna laika ekvivalents (2013)</w:t>
            </w:r>
          </w:p>
        </w:tc>
        <w:tc>
          <w:tcPr>
            <w:tcW w:w="1838" w:type="dxa"/>
          </w:tcPr>
          <w:p w14:paraId="384162C3" w14:textId="77777777" w:rsidR="007C6AB7" w:rsidRPr="009659D7" w:rsidRDefault="007C6AB7" w:rsidP="006E36FB">
            <w:pPr>
              <w:pStyle w:val="2LBulletsF"/>
              <w:keepLines/>
              <w:numPr>
                <w:ilvl w:val="0"/>
                <w:numId w:val="0"/>
              </w:numPr>
              <w:shd w:val="clear" w:color="auto" w:fill="auto"/>
              <w:jc w:val="left"/>
              <w:cnfStyle w:val="100000000000" w:firstRow="1" w:lastRow="0" w:firstColumn="0" w:lastColumn="0" w:oddVBand="0" w:evenVBand="0" w:oddHBand="0" w:evenHBand="0" w:firstRowFirstColumn="0" w:firstRowLastColumn="0" w:lastRowFirstColumn="0" w:lastRowLastColumn="0"/>
            </w:pPr>
            <w:r w:rsidRPr="009659D7">
              <w:t>Kopējais P&amp;A personāls (2012)</w:t>
            </w:r>
          </w:p>
        </w:tc>
      </w:tr>
      <w:tr w:rsidR="007C6AB7" w:rsidRPr="009659D7" w14:paraId="605E0946" w14:textId="77777777" w:rsidTr="006E36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0" w:type="dxa"/>
          </w:tcPr>
          <w:p w14:paraId="4541929A" w14:textId="77777777" w:rsidR="007C6AB7" w:rsidRPr="009659D7" w:rsidRDefault="007C6AB7" w:rsidP="006E36FB">
            <w:pPr>
              <w:pStyle w:val="2LBulletsF"/>
              <w:keepLines/>
              <w:numPr>
                <w:ilvl w:val="0"/>
                <w:numId w:val="0"/>
              </w:numPr>
              <w:shd w:val="clear" w:color="auto" w:fill="auto"/>
            </w:pPr>
            <w:r w:rsidRPr="009659D7">
              <w:t>Kopā apstrādes rūpniecība</w:t>
            </w:r>
          </w:p>
        </w:tc>
        <w:tc>
          <w:tcPr>
            <w:tcW w:w="1984" w:type="dxa"/>
          </w:tcPr>
          <w:p w14:paraId="7FA1EC77" w14:textId="77777777" w:rsidR="007C6AB7" w:rsidRPr="009659D7" w:rsidRDefault="007C6AB7" w:rsidP="006E36FB">
            <w:pPr>
              <w:pStyle w:val="2LBulletsF"/>
              <w:keepLines/>
              <w:numPr>
                <w:ilvl w:val="0"/>
                <w:numId w:val="0"/>
              </w:numPr>
              <w:shd w:val="clear" w:color="auto" w:fill="auto"/>
              <w:jc w:val="right"/>
              <w:cnfStyle w:val="000000100000" w:firstRow="0" w:lastRow="0" w:firstColumn="0" w:lastColumn="0" w:oddVBand="0" w:evenVBand="0" w:oddHBand="1" w:evenHBand="0" w:firstRowFirstColumn="0" w:firstRowLastColumn="0" w:lastRowFirstColumn="0" w:lastRowLastColumn="0"/>
            </w:pPr>
            <w:r w:rsidRPr="009659D7">
              <w:t>495</w:t>
            </w:r>
          </w:p>
        </w:tc>
        <w:tc>
          <w:tcPr>
            <w:tcW w:w="1838" w:type="dxa"/>
          </w:tcPr>
          <w:p w14:paraId="01F99F39" w14:textId="77777777" w:rsidR="007C6AB7" w:rsidRPr="009659D7" w:rsidRDefault="007C6AB7" w:rsidP="006E36FB">
            <w:pPr>
              <w:pStyle w:val="2LBulletsF"/>
              <w:keepLines/>
              <w:numPr>
                <w:ilvl w:val="0"/>
                <w:numId w:val="0"/>
              </w:numPr>
              <w:shd w:val="clear" w:color="auto" w:fill="auto"/>
              <w:jc w:val="right"/>
              <w:cnfStyle w:val="000000100000" w:firstRow="0" w:lastRow="0" w:firstColumn="0" w:lastColumn="0" w:oddVBand="0" w:evenVBand="0" w:oddHBand="1" w:evenHBand="0" w:firstRowFirstColumn="0" w:firstRowLastColumn="0" w:lastRowFirstColumn="0" w:lastRowLastColumn="0"/>
            </w:pPr>
            <w:r w:rsidRPr="009659D7">
              <w:t>635</w:t>
            </w:r>
          </w:p>
        </w:tc>
      </w:tr>
      <w:tr w:rsidR="007C6AB7" w:rsidRPr="009659D7" w14:paraId="4F39075A" w14:textId="77777777" w:rsidTr="006E36FB">
        <w:tc>
          <w:tcPr>
            <w:cnfStyle w:val="001000000000" w:firstRow="0" w:lastRow="0" w:firstColumn="1" w:lastColumn="0" w:oddVBand="0" w:evenVBand="0" w:oddHBand="0" w:evenHBand="0" w:firstRowFirstColumn="0" w:firstRowLastColumn="0" w:lastRowFirstColumn="0" w:lastRowLastColumn="0"/>
            <w:tcW w:w="4390" w:type="dxa"/>
          </w:tcPr>
          <w:p w14:paraId="1296ABC9" w14:textId="77777777" w:rsidR="007C6AB7" w:rsidRPr="009659D7" w:rsidRDefault="007C6AB7" w:rsidP="006E36FB">
            <w:pPr>
              <w:pStyle w:val="2LBulletsF"/>
              <w:keepLines/>
              <w:numPr>
                <w:ilvl w:val="0"/>
                <w:numId w:val="0"/>
              </w:numPr>
              <w:shd w:val="clear" w:color="auto" w:fill="auto"/>
            </w:pPr>
            <w:r w:rsidRPr="009659D7">
              <w:t>Ķīmijas vielas un produkti</w:t>
            </w:r>
          </w:p>
        </w:tc>
        <w:tc>
          <w:tcPr>
            <w:tcW w:w="1984" w:type="dxa"/>
          </w:tcPr>
          <w:p w14:paraId="3948F0F9" w14:textId="77777777" w:rsidR="007C6AB7" w:rsidRPr="009659D7" w:rsidRDefault="007C6AB7" w:rsidP="006E36FB">
            <w:pPr>
              <w:pStyle w:val="2LBulletsF"/>
              <w:keepLines/>
              <w:numPr>
                <w:ilvl w:val="0"/>
                <w:numId w:val="0"/>
              </w:numPr>
              <w:shd w:val="clear" w:color="auto" w:fill="auto"/>
              <w:jc w:val="right"/>
              <w:cnfStyle w:val="000000000000" w:firstRow="0" w:lastRow="0" w:firstColumn="0" w:lastColumn="0" w:oddVBand="0" w:evenVBand="0" w:oddHBand="0" w:evenHBand="0" w:firstRowFirstColumn="0" w:firstRowLastColumn="0" w:lastRowFirstColumn="0" w:lastRowLastColumn="0"/>
            </w:pPr>
            <w:r w:rsidRPr="009659D7">
              <w:t>13</w:t>
            </w:r>
          </w:p>
        </w:tc>
        <w:tc>
          <w:tcPr>
            <w:tcW w:w="1838" w:type="dxa"/>
          </w:tcPr>
          <w:p w14:paraId="3E5147B7" w14:textId="77777777" w:rsidR="007C6AB7" w:rsidRPr="009659D7" w:rsidRDefault="007C6AB7" w:rsidP="006E36FB">
            <w:pPr>
              <w:pStyle w:val="2LBulletsF"/>
              <w:keepLines/>
              <w:numPr>
                <w:ilvl w:val="0"/>
                <w:numId w:val="0"/>
              </w:numPr>
              <w:shd w:val="clear" w:color="auto" w:fill="auto"/>
              <w:jc w:val="right"/>
              <w:cnfStyle w:val="000000000000" w:firstRow="0" w:lastRow="0" w:firstColumn="0" w:lastColumn="0" w:oddVBand="0" w:evenVBand="0" w:oddHBand="0" w:evenHBand="0" w:firstRowFirstColumn="0" w:firstRowLastColumn="0" w:lastRowFirstColumn="0" w:lastRowLastColumn="0"/>
            </w:pPr>
            <w:r w:rsidRPr="009659D7">
              <w:t>28</w:t>
            </w:r>
          </w:p>
        </w:tc>
      </w:tr>
      <w:tr w:rsidR="007C6AB7" w:rsidRPr="009659D7" w14:paraId="55938C91" w14:textId="77777777" w:rsidTr="006E36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0" w:type="dxa"/>
          </w:tcPr>
          <w:p w14:paraId="59DBF9A9" w14:textId="77777777" w:rsidR="007C6AB7" w:rsidRPr="009659D7" w:rsidRDefault="007C6AB7" w:rsidP="006E36FB">
            <w:pPr>
              <w:pStyle w:val="2LBulletsF"/>
              <w:keepLines/>
              <w:numPr>
                <w:ilvl w:val="0"/>
                <w:numId w:val="0"/>
              </w:numPr>
              <w:shd w:val="clear" w:color="auto" w:fill="auto"/>
            </w:pPr>
            <w:r w:rsidRPr="009659D7">
              <w:t>Farmācija</w:t>
            </w:r>
          </w:p>
        </w:tc>
        <w:tc>
          <w:tcPr>
            <w:tcW w:w="1984" w:type="dxa"/>
          </w:tcPr>
          <w:p w14:paraId="6705ACCC" w14:textId="77777777" w:rsidR="007C6AB7" w:rsidRPr="009659D7" w:rsidRDefault="007C6AB7" w:rsidP="006E36FB">
            <w:pPr>
              <w:pStyle w:val="2LBulletsF"/>
              <w:keepLines/>
              <w:numPr>
                <w:ilvl w:val="0"/>
                <w:numId w:val="0"/>
              </w:numPr>
              <w:shd w:val="clear" w:color="auto" w:fill="auto"/>
              <w:jc w:val="right"/>
              <w:cnfStyle w:val="000000100000" w:firstRow="0" w:lastRow="0" w:firstColumn="0" w:lastColumn="0" w:oddVBand="0" w:evenVBand="0" w:oddHBand="1" w:evenHBand="0" w:firstRowFirstColumn="0" w:firstRowLastColumn="0" w:lastRowFirstColumn="0" w:lastRowLastColumn="0"/>
            </w:pPr>
            <w:r w:rsidRPr="009659D7">
              <w:t>224</w:t>
            </w:r>
          </w:p>
        </w:tc>
        <w:tc>
          <w:tcPr>
            <w:tcW w:w="1838" w:type="dxa"/>
          </w:tcPr>
          <w:p w14:paraId="5FC2F73B" w14:textId="77777777" w:rsidR="007C6AB7" w:rsidRPr="009659D7" w:rsidRDefault="007C6AB7" w:rsidP="006E36FB">
            <w:pPr>
              <w:pStyle w:val="2LBulletsF"/>
              <w:keepLines/>
              <w:numPr>
                <w:ilvl w:val="0"/>
                <w:numId w:val="0"/>
              </w:numPr>
              <w:shd w:val="clear" w:color="auto" w:fill="auto"/>
              <w:jc w:val="right"/>
              <w:cnfStyle w:val="000000100000" w:firstRow="0" w:lastRow="0" w:firstColumn="0" w:lastColumn="0" w:oddVBand="0" w:evenVBand="0" w:oddHBand="1" w:evenHBand="0" w:firstRowFirstColumn="0" w:firstRowLastColumn="0" w:lastRowFirstColumn="0" w:lastRowLastColumn="0"/>
            </w:pPr>
            <w:r w:rsidRPr="009659D7">
              <w:t>245</w:t>
            </w:r>
          </w:p>
        </w:tc>
      </w:tr>
    </w:tbl>
    <w:p w14:paraId="1884735D" w14:textId="77C3A02D" w:rsidR="007C6AB7" w:rsidRPr="008F17F3" w:rsidRDefault="007C6AB7" w:rsidP="007C6AB7">
      <w:pPr>
        <w:spacing w:after="100" w:afterAutospacing="1"/>
      </w:pPr>
      <w:r>
        <w:lastRenderedPageBreak/>
        <w:fldChar w:fldCharType="begin"/>
      </w:r>
      <w:r>
        <w:instrText xml:space="preserve"> REF _Ref408657952 \h </w:instrText>
      </w:r>
      <w:r>
        <w:fldChar w:fldCharType="separate"/>
      </w:r>
      <w:r w:rsidR="0066799B">
        <w:t xml:space="preserve">Tabula </w:t>
      </w:r>
      <w:r w:rsidR="0066799B">
        <w:rPr>
          <w:noProof/>
        </w:rPr>
        <w:t>4</w:t>
      </w:r>
      <w:r>
        <w:fldChar w:fldCharType="end"/>
      </w:r>
      <w:r>
        <w:t xml:space="preserve">. redzams, ka uzņēmumu iekšējo resursu līmenī vislielākais P&amp;A personāla īpatsvars no visām ķīmijas apakšnozarēm ir farmācijā, kura veido trešdaļu no visa apstrādes rūpniecībā nodarbinātā P&amp;A personāla. </w:t>
      </w:r>
      <w:r w:rsidRPr="00BF000B">
        <w:rPr>
          <w:i/>
        </w:rPr>
        <w:t>Eurostat</w:t>
      </w:r>
      <w:r>
        <w:t xml:space="preserve"> 2011. gada dati</w:t>
      </w:r>
      <w:r>
        <w:rPr>
          <w:rStyle w:val="FootnoteReference"/>
        </w:rPr>
        <w:footnoteReference w:id="57"/>
      </w:r>
      <w:r>
        <w:t xml:space="preserve"> arī liecina par trūkstošiem P&amp;A cilvēkresursiem kopumā. Vidēji ES 28 valstīs kopējais P&amp;A personāls (mērot PLE vienībās) veido 1,23 % no kopā nodarbinātajiem, taču Latvijā tikai 0,63 %. Lietuvā un Igaunijā situācija ir ievērojami labāka, attiecīgi 0,89 % un 0,95 %. Uzņēmējdarbības sektorā attiecība starp Latvijā nodarbināto P&amp;A personālu un Eiropas Savienības vidējo rādītāju ir vēl ievērojamāka, attiecīgi 0,2 % pret 0,81 %. Augstākās izglītības sektorā Latvijas rādītājs atbilst ES 28 valstu vidējam rādītājam, proti, 0,78 %.</w:t>
      </w:r>
    </w:p>
    <w:p w14:paraId="2C4A84B6" w14:textId="77777777" w:rsidR="007C6AB7" w:rsidRDefault="007C6AB7" w:rsidP="007C6AB7">
      <w:r w:rsidRPr="00A528AB">
        <w:rPr>
          <w:b/>
        </w:rPr>
        <w:t>Ķīmijas un ar to saistīto nozaru uzņēmumi patstāvīgi veic pētniecības un attīstības aktivitātes</w:t>
      </w:r>
      <w:r>
        <w:t>, lai radītu jaunus produktus, pielāgotu produktus jauniem tirgiem un palielinātu ražošanas efektivitāti. Pētniecības un attīstības darbībām tiek izmantota gan sava pētniecības infrastruktūra — laboratorijas, testa iekārtas, gan arī kā ārpakalpojums tiek iepirkti</w:t>
      </w:r>
      <w:r w:rsidRPr="007D1125">
        <w:t xml:space="preserve"> </w:t>
      </w:r>
      <w:r>
        <w:t>P&amp;A pakalpojumi.</w:t>
      </w:r>
    </w:p>
    <w:p w14:paraId="41D2105C" w14:textId="77777777" w:rsidR="007C6AB7" w:rsidRDefault="007C6AB7" w:rsidP="007C6AB7">
      <w:r w:rsidRPr="00A528AB">
        <w:rPr>
          <w:b/>
        </w:rPr>
        <w:t xml:space="preserve">Uzņēmumiem, kas regulāri nodarbojas ar jaunu produktu izstrādi, </w:t>
      </w:r>
      <w:r>
        <w:rPr>
          <w:b/>
        </w:rPr>
        <w:t xml:space="preserve">galvenokārt </w:t>
      </w:r>
      <w:r w:rsidRPr="00A528AB">
        <w:rPr>
          <w:b/>
        </w:rPr>
        <w:t>ir pašiem savas laboratorijas.</w:t>
      </w:r>
      <w:r>
        <w:t xml:space="preserve"> Gan farmācijas, gan kosmētikas ražotājiem, gan citu ķīmijas un materiālu ražotājiem, kas piedalījās intervijās, ir savas laboratorijas, kas nodrošina ikdienas darbam vajadzīgo aprīkojumu. Uzņēmumu uzsvērtās priekšrocības iekšējai laboratorijai ir ātrums un konfidencialitāte. Sarežģītāki pētījumi, kuru veikšanai uzņēmumiem nav savu iekārtu, tiek iepirkti, piemēram, materiālu pārbaudes GLP sertificētās laboratorijās.</w:t>
      </w:r>
    </w:p>
    <w:p w14:paraId="32CA75E2" w14:textId="77777777" w:rsidR="007C6AB7" w:rsidRDefault="007C6AB7" w:rsidP="007C6AB7">
      <w:r w:rsidRPr="00264A8E">
        <w:rPr>
          <w:b/>
        </w:rPr>
        <w:t>P&amp;A pakalpojumu iegādē noteicošie faktori ir cena, kvalitāte un laiks, nevis pakalpojuma sniedzēja izcelsmes valsts.</w:t>
      </w:r>
      <w:r>
        <w:t xml:space="preserve"> Uzņēmumi norāda, ka sadarbojas gan ar Latvijas, gan ar ārzemju zinātnes un pētniecības organizācijām — gan privātām, gan publiskām. Izvēli nosaka spēja paveikt uzdevumu noteiktā laikā, kvalitātē un par atbilstošu cenu. Ārzemju pakalpojumu sniedzēji tiek izvēlēti arī gadījumos, kad Latvijā par identisku pakalpojumu prasītā cena ir augstāka.</w:t>
      </w:r>
      <w:r w:rsidRPr="009B7E5E">
        <w:t xml:space="preserve"> </w:t>
      </w:r>
      <w:r>
        <w:t>Ir jomas, kurās Latvijā infrastruktūra nepastāv. Piemēram, GLP analītiskā laboratorija, klīnisko pētījumu centrs, sertificēta būvmateriālu pārbaudes laboratorija.</w:t>
      </w:r>
    </w:p>
    <w:p w14:paraId="2C330E62" w14:textId="3A5025E9" w:rsidR="007C6AB7" w:rsidRDefault="007C6AB7" w:rsidP="00B12566">
      <w:r w:rsidRPr="00D30532">
        <w:rPr>
          <w:rStyle w:val="Strong"/>
        </w:rPr>
        <w:t>P&amp;A infrastruktūra Latvijā netiek noslogota,</w:t>
      </w:r>
      <w:r w:rsidRPr="00D30532">
        <w:t xml:space="preserve"> </w:t>
      </w:r>
      <w:r w:rsidRPr="00C16D74">
        <w:rPr>
          <w:rStyle w:val="Strong"/>
        </w:rPr>
        <w:t>tās papildus noslodzei un inovācijām ir potenciāls.</w:t>
      </w:r>
      <w:r w:rsidRPr="00D30532">
        <w:t xml:space="preserve"> Nozares uzņēmumi atzīst, ka esošā infrastruktūra varētu tikt labāk izmantota, jo zinātnes un pētniecības infrastruktūra ir ļoti fragmentēta. </w:t>
      </w:r>
      <w:r>
        <w:t>FIDEA</w:t>
      </w:r>
      <w:r w:rsidRPr="00D30532">
        <w:t xml:space="preserve"> veiktajā aptaujā 69</w:t>
      </w:r>
      <w:r>
        <w:t> </w:t>
      </w:r>
      <w:r w:rsidRPr="00D30532">
        <w:t xml:space="preserve">% respondentu atzina, ka informācijas trūkums par pieejamo infrastruktūru ir galvenais šķērslis </w:t>
      </w:r>
      <w:r>
        <w:t>sekmīgai</w:t>
      </w:r>
      <w:r w:rsidRPr="00D30532">
        <w:t xml:space="preserve"> tehnoloģiju pārneses attīstībai, jo uzņēmumiem nav skaidrs, kādi pakalpojumi uz kādām iekārtām un par kādām cenām viņiem būtu </w:t>
      </w:r>
      <w:r w:rsidRPr="001F2679">
        <w:t>pieejami.</w:t>
      </w:r>
    </w:p>
    <w:p w14:paraId="28562A60" w14:textId="178C4AE0" w:rsidR="00B12566" w:rsidRPr="00C948F2" w:rsidRDefault="00B12566" w:rsidP="00B12566">
      <w:pPr>
        <w:pStyle w:val="Heading2"/>
        <w:rPr>
          <w:lang w:eastAsia="lv-LV"/>
        </w:rPr>
      </w:pPr>
      <w:bookmarkStart w:id="55" w:name="_Toc119072227"/>
      <w:r w:rsidRPr="00C948F2">
        <w:rPr>
          <w:lang w:eastAsia="lv-LV"/>
        </w:rPr>
        <w:t>Plānotā sadarbība</w:t>
      </w:r>
      <w:bookmarkEnd w:id="55"/>
    </w:p>
    <w:p w14:paraId="48966F8F" w14:textId="3BCC869B" w:rsidR="00067FEC" w:rsidRDefault="00067FEC" w:rsidP="00067FEC">
      <w:r>
        <w:t xml:space="preserve">Kompetences centra ietvaros plānota cieša sadarbība gan pētniecības projektu īstenotājiem, gan ar zinātniskajām institūcijām. Katra pētniecības projekta apstiprināšanu veic kompetences centra pētniecības projektu atlases un uzraudzības padome, kas izvērtē projekta īstenotāja zinātnisko kapacitāti, kā arī plānoto sadarbību ar zinātniskajām institūcijām, kas tiks iesaistītas projekta mērķu sasniegšanā. </w:t>
      </w:r>
    </w:p>
    <w:p w14:paraId="6EBCEC15" w14:textId="10A63ED5" w:rsidR="00067FEC" w:rsidRDefault="00067FEC" w:rsidP="00067FEC">
      <w:r>
        <w:lastRenderedPageBreak/>
        <w:t xml:space="preserve">Veiksmīgākai individuālu projektu mērķu sasniegšanai, liela daļa projektu īstenotāju plāno iesaistīt zinātniskās institūcijas, tādas kā </w:t>
      </w:r>
      <w:r w:rsidR="00FC3772" w:rsidRPr="00FC3772">
        <w:t>Rīgas Stradiņa universitāte, Organiskās sintēzes institūts</w:t>
      </w:r>
      <w:r w:rsidR="00FC3772">
        <w:t xml:space="preserve">, </w:t>
      </w:r>
      <w:r w:rsidR="005764D9">
        <w:t>Biomedicīnas pētījumu un studiju centrs (BMC), Rīgas Tehniskā universitāte, Latvijas universitātes Ķīmijas</w:t>
      </w:r>
      <w:r w:rsidR="00FC3772" w:rsidRPr="00FC3772">
        <w:t xml:space="preserve"> </w:t>
      </w:r>
      <w:r w:rsidR="005764D9">
        <w:t xml:space="preserve">un Bioloģijas fakultātes, </w:t>
      </w:r>
      <w:r w:rsidR="005764D9" w:rsidRPr="00FC3772">
        <w:t>Rīgas Stradiņa universitāte</w:t>
      </w:r>
      <w:r w:rsidR="005764D9">
        <w:t xml:space="preserve">s Gatavo zāļu izstrādes laboratorija </w:t>
      </w:r>
      <w:r>
        <w:t>un citas, kas noskaidrosies pētījumu iepirkumu rezultātos.</w:t>
      </w:r>
    </w:p>
    <w:p w14:paraId="60B9DEFB" w14:textId="77777777" w:rsidR="00067FEC" w:rsidRPr="00C264A8" w:rsidRDefault="00067FEC" w:rsidP="00067FEC">
      <w:r>
        <w:t>L</w:t>
      </w:r>
      <w:r w:rsidRPr="00C264A8">
        <w:t xml:space="preserve">ai panāktu ciešāku sadarbību starp zinātniskajām institūcijām un komersantiem, </w:t>
      </w:r>
      <w:r>
        <w:t xml:space="preserve">tiks veicināta </w:t>
      </w:r>
      <w:r w:rsidRPr="00C264A8">
        <w:t>komunikācijas kanālu</w:t>
      </w:r>
      <w:r>
        <w:t xml:space="preserve"> – tajā skaitā klātienes tikšanā</w:t>
      </w:r>
      <w:r w:rsidRPr="00C264A8">
        <w:t>s</w:t>
      </w:r>
      <w:r>
        <w:t>,</w:t>
      </w:r>
      <w:r w:rsidRPr="00C264A8">
        <w:t xml:space="preserve"> kvalitātes uzlabošana – lai iegūtu ērtu un izmantojamu informāciju ne tikai par pieteiktajiem projektiem, bet arī citām P&amp;A aktivitātēm, kuras veic sadarbības partneri.</w:t>
      </w:r>
    </w:p>
    <w:p w14:paraId="01BE8EF3" w14:textId="77777777" w:rsidR="00067FEC" w:rsidRPr="00C264A8" w:rsidRDefault="00573DE4" w:rsidP="00067FEC">
      <w:r>
        <w:t xml:space="preserve">Regulārā sadarbība (satikšanās un komunikācija) </w:t>
      </w:r>
      <w:r w:rsidRPr="001B5B8C">
        <w:t>pēt</w:t>
      </w:r>
      <w:r>
        <w:t xml:space="preserve">niecības projektu atlases padomē, ļauj nodrošināt labāku informācijas apmaiņu starp industrijas pārstāvjiem un pētniecības iestāžu pārstāvjiem par industrijas izpratni – kas ir aktuāli tirgū un varētu tikt komerciāli izmantots, tāpat arī veidojas neformālās saites, lai apmainītos ar informāciju par plānotajiem pētniecības virzieniem, kuri varētu būt komercializējami tikai pēc vairākiem gadiem. </w:t>
      </w:r>
      <w:r w:rsidR="001F1C0E">
        <w:t>Šīs neformālās saites arī veicinās izglītības iestāžu iespēju rast jaunas pētījumu idejas un iesaistīt jaunos zinātniekus pētniecības jomās, kuras tuvinātas industrijas specializācijas nišām.</w:t>
      </w:r>
    </w:p>
    <w:p w14:paraId="3871FA14" w14:textId="77777777" w:rsidR="00067FEC" w:rsidRDefault="00067FEC" w:rsidP="00067FEC">
      <w:r>
        <w:t>Gatavojot atskaites kompetences centra</w:t>
      </w:r>
      <w:r w:rsidRPr="00C264A8">
        <w:t xml:space="preserve"> ietvaros paredzams dalīties ar industrijas un pētnieku kopīgi veiktajiem pētījumiem – to pētījumu tēmām vai arī galvenajām atziņām un jaunākajiem industrijas sasniegumiem ārpus LV, jo pētnieki biežāk apmeklē nozares konferences un izzina par citu valstu sasniegumiem izpētes jomās pirms tie tiek komercializēti tirgos. </w:t>
      </w:r>
      <w:r w:rsidR="00573DE4">
        <w:t>Šāda informācija komersantiem ļaus pieņemt precīzākus lēmumus par dažādu projektu turpmāko darbību.</w:t>
      </w:r>
    </w:p>
    <w:p w14:paraId="3466CF24" w14:textId="5C197ED6" w:rsidR="007C6AB7" w:rsidRDefault="00067FEC" w:rsidP="00067FEC">
      <w:r>
        <w:t>Precīzu sadarbību kompetences centra ietvaros šobrīd ir pāragri spriest, jo visi projekti tiks apstiprināti darbības laikā, bet apmainoties ar informāciju projektu īstenošanas gaitā, rodas jaunas sadarbības iespējas, kas tiks īstenotas turpmākajos pētniecības projektos.</w:t>
      </w:r>
    </w:p>
    <w:p w14:paraId="77423C41" w14:textId="6A678512" w:rsidR="007C6AB7" w:rsidRPr="00867036" w:rsidRDefault="007C6AB7" w:rsidP="007C6AB7">
      <w:r>
        <w:rPr>
          <w:rFonts w:eastAsia="Times New Roman" w:cs="Times New Roman"/>
        </w:rPr>
        <w:t>Ņemot vērā, ka FBMTKC sadarbības partneri ir pārsvarā lieli farmācijas un kosmētikas ražotāji, kas aktīvi nodarbojas ar P&amp;A jau vairākus gadus, l</w:t>
      </w:r>
      <w:r w:rsidRPr="00867036">
        <w:rPr>
          <w:rFonts w:eastAsia="Times New Roman" w:cs="Times New Roman"/>
        </w:rPr>
        <w:t xml:space="preserve">ielākai daļai </w:t>
      </w:r>
      <w:r>
        <w:rPr>
          <w:rFonts w:eastAsia="Times New Roman" w:cs="Times New Roman"/>
        </w:rPr>
        <w:t>no tiem</w:t>
      </w:r>
      <w:r w:rsidRPr="00867036">
        <w:rPr>
          <w:rFonts w:eastAsia="Times New Roman" w:cs="Times New Roman"/>
        </w:rPr>
        <w:t xml:space="preserve"> ir pieejama sava P&amp;A infrast</w:t>
      </w:r>
      <w:r>
        <w:rPr>
          <w:rFonts w:eastAsia="Times New Roman" w:cs="Times New Roman"/>
        </w:rPr>
        <w:t xml:space="preserve">ruktūra un personāls. </w:t>
      </w:r>
      <w:r w:rsidRPr="00867036">
        <w:rPr>
          <w:rFonts w:eastAsia="Times New Roman" w:cs="Times New Roman"/>
        </w:rPr>
        <w:t>Uzņēmumiem ir nepieciešam</w:t>
      </w:r>
      <w:r>
        <w:rPr>
          <w:rFonts w:eastAsia="Times New Roman" w:cs="Times New Roman"/>
        </w:rPr>
        <w:t>ā</w:t>
      </w:r>
      <w:r w:rsidRPr="00867036">
        <w:rPr>
          <w:rFonts w:eastAsia="Times New Roman" w:cs="Times New Roman"/>
        </w:rPr>
        <w:t>s pētniecības iekārtas, vairāk</w:t>
      </w:r>
      <w:r>
        <w:rPr>
          <w:rFonts w:eastAsia="Times New Roman" w:cs="Times New Roman"/>
        </w:rPr>
        <w:t>os</w:t>
      </w:r>
      <w:r w:rsidRPr="00867036">
        <w:rPr>
          <w:rFonts w:eastAsia="Times New Roman" w:cs="Times New Roman"/>
        </w:rPr>
        <w:t xml:space="preserve"> no t</w:t>
      </w:r>
      <w:r>
        <w:rPr>
          <w:rFonts w:eastAsia="Times New Roman" w:cs="Times New Roman"/>
        </w:rPr>
        <w:t>iem</w:t>
      </w:r>
      <w:r w:rsidRPr="00867036">
        <w:rPr>
          <w:rFonts w:eastAsia="Times New Roman" w:cs="Times New Roman"/>
        </w:rPr>
        <w:t xml:space="preserve"> ir aprīkotas laboratorijas. Daži nodrošina pētniecisko infrastruktūru caur sadarbību ar citiem komersantiem vai pētnieciskām organizācijām. </w:t>
      </w:r>
      <w:r w:rsidRPr="00867036">
        <w:t xml:space="preserve">Katram projekta īstenotājam ir skaidrs, kur iegādāties vai iznomāt iekārtas un no kurienes piesaistīt P&amp;A personālu </w:t>
      </w:r>
      <w:r>
        <w:rPr>
          <w:rFonts w:eastAsia="Times New Roman" w:cs="Times New Roman"/>
        </w:rPr>
        <w:t>FBMTKC</w:t>
      </w:r>
      <w:r w:rsidRPr="00867036">
        <w:t xml:space="preserve"> ietvar</w:t>
      </w:r>
      <w:r>
        <w:t>os veiktajiem pētījumiem. Sīkāka</w:t>
      </w:r>
      <w:r w:rsidRPr="00867036">
        <w:t xml:space="preserve"> informācija</w:t>
      </w:r>
      <w:r>
        <w:t xml:space="preserve"> par komersantiem pieejamo infrastruktūru ir aprakstīta </w:t>
      </w:r>
      <w:r>
        <w:fldChar w:fldCharType="begin"/>
      </w:r>
      <w:r>
        <w:instrText xml:space="preserve"> REF _Ref451164153 \h </w:instrText>
      </w:r>
      <w:r>
        <w:fldChar w:fldCharType="separate"/>
      </w:r>
      <w:r w:rsidR="0066799B">
        <w:t xml:space="preserve">Tabula </w:t>
      </w:r>
      <w:r w:rsidR="0066799B">
        <w:rPr>
          <w:noProof/>
        </w:rPr>
        <w:t>5</w:t>
      </w:r>
      <w:r w:rsidR="0066799B">
        <w:t>. Sadarbības partneriem pieejamā infrastruktūra</w:t>
      </w:r>
      <w:r>
        <w:fldChar w:fldCharType="end"/>
      </w:r>
      <w:r w:rsidRPr="00867036">
        <w:t xml:space="preserve"> </w:t>
      </w:r>
    </w:p>
    <w:p w14:paraId="430E719D" w14:textId="77777777" w:rsidR="007C6AB7" w:rsidRPr="00C600D1" w:rsidRDefault="007C6AB7" w:rsidP="007C6AB7">
      <w:r w:rsidRPr="00867036">
        <w:t xml:space="preserve">Turklāt pētniecības projektu īstenotājiem ir pieejamas pētniecisko organizāciju iekārtas pētījumu veikšanai. Tās </w:t>
      </w:r>
      <w:r>
        <w:t>var tikt</w:t>
      </w:r>
      <w:r w:rsidRPr="00867036">
        <w:t xml:space="preserve"> izmantotas </w:t>
      </w:r>
      <w:r>
        <w:t>kā ārpakalpojums,</w:t>
      </w:r>
      <w:r w:rsidRPr="00867036">
        <w:t xml:space="preserve"> sadarb</w:t>
      </w:r>
      <w:r>
        <w:t xml:space="preserve">ojoties </w:t>
      </w:r>
      <w:r w:rsidRPr="00867036">
        <w:t xml:space="preserve">ar </w:t>
      </w:r>
      <w:r>
        <w:t xml:space="preserve">šīm </w:t>
      </w:r>
      <w:r w:rsidRPr="00867036">
        <w:t>pētniec</w:t>
      </w:r>
      <w:r>
        <w:t>ības</w:t>
      </w:r>
      <w:r w:rsidRPr="00867036">
        <w:t xml:space="preserve"> organizācijām. Detalizēts</w:t>
      </w:r>
      <w:r w:rsidRPr="00C600D1">
        <w:t xml:space="preserve"> pētniecisko organizāciju saraksts ir pievienot šī dokumenta pielikumā.</w:t>
      </w:r>
    </w:p>
    <w:p w14:paraId="1C29725F" w14:textId="77777777" w:rsidR="007C6AB7" w:rsidRDefault="007C6AB7" w:rsidP="007C6AB7">
      <w:r>
        <w:t>Uzņēmumiem pagaidām nav nepieciešama papildus pētnieciskā infrastruktūra. Tomēr, ja projekta gaitā tiks identificēta vajadzība pēc papildu iekārtām, tiks meklētas iespējas tās iznomāt no pārējiem sadarbības partneriem vai pētnieciskām organizācijām vai arī tiks apskatītas visizdevīgākās iespējas tās iegādāties.</w:t>
      </w:r>
    </w:p>
    <w:p w14:paraId="7D157449" w14:textId="77777777" w:rsidR="007C6AB7" w:rsidRDefault="007C6AB7" w:rsidP="007C6AB7">
      <w:pPr>
        <w:rPr>
          <w:shd w:val="clear" w:color="auto" w:fill="auto"/>
        </w:rPr>
      </w:pPr>
      <w:r>
        <w:t>Lai sekmīgi attīstītu Latvijas uzņēmumu konkurētspēju starptautiskā mērogā un apgūtu jaunus reģionus ārpus Eiropas Savienības, kā, piemēram, DA Āzija, Centrāl- un Dienvidamerika, Latvijas MVU farmācijas, uztura bagātinātāju un kosmētikas produktu ražošanas jomā būtu nepieciešama pieeja sekojošām “atvērta” tipa pētnieciski-mērogošanas laboratorijām, kas tiktu darbinātas vadošo universitāšu un zinātnisko institūtu pakļautība, un kas strādātu uz cenas ziņā konkurētspējīgu komerciālo pasūtījumu atraktivizēšanu pirmām kārtām no Latvijas uzņēmumiem, un savas brīvās jaudas reklamētu ārzemēs, lai panāktu laboratoriju darbību uz pašfinansēšanās principa.</w:t>
      </w:r>
    </w:p>
    <w:p w14:paraId="3B1B0330" w14:textId="77777777" w:rsidR="007C6AB7" w:rsidRPr="004A78A9" w:rsidRDefault="007C6AB7" w:rsidP="007C6AB7">
      <w:pPr>
        <w:rPr>
          <w:rFonts w:ascii="Segoe UI" w:hAnsi="Segoe UI" w:cs="Segoe UI"/>
        </w:rPr>
      </w:pPr>
      <w:r>
        <w:rPr>
          <w:rFonts w:ascii="Segoe UI" w:hAnsi="Segoe UI" w:cs="Segoe UI"/>
          <w:bCs/>
        </w:rPr>
        <w:lastRenderedPageBreak/>
        <w:t>Mazajās molekulās balstītie produkti, to izpēte un  iegūšanas tehnoloģiju iztrūkstošā pētnieciskā infrastruktūra piemērota rūpnieciskajiem pētījumiem un eksperimentālajām izstrādēm:</w:t>
      </w:r>
    </w:p>
    <w:p w14:paraId="16562D38" w14:textId="77777777" w:rsidR="007C6AB7" w:rsidRDefault="007C6AB7" w:rsidP="006F31C1">
      <w:pPr>
        <w:keepLines w:val="0"/>
        <w:numPr>
          <w:ilvl w:val="0"/>
          <w:numId w:val="26"/>
        </w:numPr>
        <w:shd w:val="clear" w:color="auto" w:fill="auto"/>
        <w:spacing w:before="0" w:after="200" w:line="276" w:lineRule="auto"/>
        <w:jc w:val="left"/>
        <w:rPr>
          <w:rFonts w:ascii="Segoe UI" w:hAnsi="Segoe UI" w:cs="Segoe UI"/>
        </w:rPr>
      </w:pPr>
      <w:r>
        <w:rPr>
          <w:rFonts w:ascii="Segoe UI" w:hAnsi="Segoe UI" w:cs="Segoe UI"/>
          <w:b/>
          <w:bCs/>
          <w:u w:val="single"/>
        </w:rPr>
        <w:t xml:space="preserve">Aktīvi farmaceitisko vielu tehnoloģiju mērogošana: </w:t>
      </w:r>
      <w:r>
        <w:rPr>
          <w:rFonts w:ascii="Segoe UI" w:hAnsi="Segoe UI" w:cs="Segoe UI"/>
        </w:rPr>
        <w:t>Good Manufacturing Practice (turpmāk GMP) klases organiskās sintēzes vielu ieguves tehnoloģiju pilot-laboratorija, sintēzes metodes apjoma mērogošanai un validēšanai. Validācijas sēriju ražošanai un analītiskajai raksturošanai, Active Substance Master File (ASMF) dokumentācijas kompilēšanai. Atvērta tipa laboratorija Latvijas Organiskās sintēzes institūta pakļautībā.</w:t>
      </w:r>
    </w:p>
    <w:p w14:paraId="03117C96" w14:textId="54C52CB9" w:rsidR="007C6AB7" w:rsidRDefault="007C6AB7" w:rsidP="006F31C1">
      <w:pPr>
        <w:keepLines w:val="0"/>
        <w:numPr>
          <w:ilvl w:val="0"/>
          <w:numId w:val="26"/>
        </w:numPr>
        <w:shd w:val="clear" w:color="auto" w:fill="auto"/>
        <w:spacing w:before="0" w:after="200" w:line="276" w:lineRule="auto"/>
        <w:jc w:val="left"/>
        <w:rPr>
          <w:rFonts w:ascii="Segoe UI" w:hAnsi="Segoe UI" w:cs="Segoe UI"/>
        </w:rPr>
      </w:pPr>
      <w:r>
        <w:rPr>
          <w:rFonts w:ascii="Segoe UI" w:hAnsi="Segoe UI" w:cs="Segoe UI"/>
          <w:b/>
          <w:bCs/>
          <w:u w:val="single"/>
        </w:rPr>
        <w:t>Gatavo zāļu formu izstrāde:</w:t>
      </w:r>
      <w:r>
        <w:rPr>
          <w:rFonts w:ascii="Segoe UI" w:hAnsi="Segoe UI" w:cs="Segoe UI"/>
          <w:b/>
          <w:bCs/>
        </w:rPr>
        <w:t xml:space="preserve">  </w:t>
      </w:r>
      <w:r>
        <w:rPr>
          <w:rFonts w:ascii="Segoe UI" w:hAnsi="Segoe UI" w:cs="Segoe UI"/>
        </w:rPr>
        <w:t>moderno zāļu formu (tabletes, kapsulas, peletes)  izstrāde GMP/GLP apstākļos</w:t>
      </w:r>
      <w:r w:rsidR="005B59BE">
        <w:rPr>
          <w:rFonts w:ascii="Segoe UI" w:hAnsi="Segoe UI" w:cs="Segoe UI"/>
        </w:rPr>
        <w:t xml:space="preserve">, kā arī </w:t>
      </w:r>
      <w:r>
        <w:rPr>
          <w:rFonts w:ascii="Segoe UI" w:hAnsi="Segoe UI" w:cs="Segoe UI"/>
        </w:rPr>
        <w:t>uzņēmumu personāla un studentu apmācība. Vēlams šādu GZF laboratoriju veidot pielietojot nepārtrauktās granulācijas tehnoloģiju, kas ievērojami saīsinātu laiku pārejai no laboratorijas paraugiem uz eksperimentālām sērijām, un no eksperimentālām sērijām uz regulāru ražošanu. Tai skait samazinot stabilitātes pētījumu laiku un apjomu jaunajām tablešu un kapsulu zāļu formām. GZF laboratorijai jābūt aprīkotai ar analītisko bloku, lai varētu ģenerēt stabilitātes un analītiskos datus, kas nepieciešami reģistrācijas dokumentācijas (CTD format Dossier) kompilēšanai. Atvērta tipa laboratorija RSU pakļautībā.</w:t>
      </w:r>
    </w:p>
    <w:p w14:paraId="50E545A8" w14:textId="77777777" w:rsidR="007C6AB7" w:rsidRDefault="007C6AB7" w:rsidP="006F31C1">
      <w:pPr>
        <w:keepLines w:val="0"/>
        <w:numPr>
          <w:ilvl w:val="0"/>
          <w:numId w:val="26"/>
        </w:numPr>
        <w:shd w:val="clear" w:color="auto" w:fill="auto"/>
        <w:spacing w:before="0" w:after="200" w:line="276" w:lineRule="auto"/>
        <w:jc w:val="left"/>
        <w:rPr>
          <w:rFonts w:ascii="Segoe UI" w:hAnsi="Segoe UI" w:cs="Segoe UI"/>
        </w:rPr>
      </w:pPr>
      <w:r>
        <w:rPr>
          <w:rFonts w:ascii="Segoe UI" w:hAnsi="Segoe UI" w:cs="Segoe UI"/>
          <w:b/>
          <w:bCs/>
          <w:u w:val="single"/>
        </w:rPr>
        <w:t>Bioloģiski aktīvo dabas vielu ekstrakcija un testēšana:</w:t>
      </w:r>
      <w:r>
        <w:rPr>
          <w:rFonts w:ascii="Segoe UI" w:hAnsi="Segoe UI" w:cs="Segoe UI"/>
          <w:b/>
          <w:bCs/>
        </w:rPr>
        <w:t xml:space="preserve"> </w:t>
      </w:r>
      <w:r>
        <w:rPr>
          <w:rFonts w:ascii="Segoe UI" w:hAnsi="Segoe UI" w:cs="Segoe UI"/>
        </w:rPr>
        <w:t>farmācijas, higiēnas, kosmētikas, pārtikas piedevu u.c. vielu kandidātu ieguvei GMP apstākļos no augiem, sēnēm, sūnām u.t.t. Atvērta tipa laboratorija Latvijas Organiskās sintēzes institūta pakļautībā.</w:t>
      </w:r>
    </w:p>
    <w:p w14:paraId="06AE1C99" w14:textId="77777777" w:rsidR="007C6AB7" w:rsidRDefault="007C6AB7" w:rsidP="006F31C1">
      <w:pPr>
        <w:keepLines w:val="0"/>
        <w:numPr>
          <w:ilvl w:val="0"/>
          <w:numId w:val="26"/>
        </w:numPr>
        <w:shd w:val="clear" w:color="auto" w:fill="auto"/>
        <w:spacing w:before="0" w:after="200" w:line="276" w:lineRule="auto"/>
        <w:jc w:val="left"/>
        <w:rPr>
          <w:rFonts w:ascii="Segoe UI" w:hAnsi="Segoe UI" w:cs="Segoe UI"/>
        </w:rPr>
      </w:pPr>
      <w:r>
        <w:rPr>
          <w:rFonts w:ascii="Segoe UI" w:hAnsi="Segoe UI" w:cs="Segoe UI"/>
          <w:b/>
          <w:bCs/>
          <w:u w:val="single"/>
        </w:rPr>
        <w:t>Zāļu vielu un ekstraktu pirmsklīniskās pārbaudes :</w:t>
      </w:r>
      <w:r>
        <w:rPr>
          <w:rFonts w:ascii="Segoe UI" w:hAnsi="Segoe UI" w:cs="Segoe UI"/>
          <w:b/>
          <w:bCs/>
        </w:rPr>
        <w:t xml:space="preserve"> </w:t>
      </w:r>
      <w:r>
        <w:rPr>
          <w:rFonts w:ascii="Segoe UI" w:hAnsi="Segoe UI" w:cs="Segoe UI"/>
        </w:rPr>
        <w:t>eksperimentālo dzīvnieku un šūnu kultūru izmantošana zāļu vielu kandidātu un bioloģiski aktīvo dabas vielu pārbaudei atbilstoši Good Laboratory Practice (GLP) standartiem. Atvērta tipa laboratorija Latvijas Organiskās sintēzes institūta pakļautībā.</w:t>
      </w:r>
    </w:p>
    <w:p w14:paraId="608BC68A" w14:textId="77777777" w:rsidR="007C6AB7" w:rsidRDefault="007C6AB7" w:rsidP="006F31C1">
      <w:pPr>
        <w:keepLines w:val="0"/>
        <w:numPr>
          <w:ilvl w:val="0"/>
          <w:numId w:val="26"/>
        </w:numPr>
        <w:shd w:val="clear" w:color="auto" w:fill="auto"/>
        <w:spacing w:before="0" w:after="200" w:line="276" w:lineRule="auto"/>
        <w:jc w:val="left"/>
        <w:rPr>
          <w:rFonts w:ascii="Segoe UI" w:hAnsi="Segoe UI" w:cs="Segoe UI"/>
        </w:rPr>
      </w:pPr>
      <w:r>
        <w:rPr>
          <w:rFonts w:ascii="Segoe UI" w:hAnsi="Segoe UI" w:cs="Segoe UI"/>
          <w:b/>
          <w:bCs/>
          <w:u w:val="single"/>
        </w:rPr>
        <w:t>Agrīnā klīniskā izpēte:</w:t>
      </w:r>
      <w:r>
        <w:rPr>
          <w:rFonts w:ascii="Segoe UI" w:hAnsi="Segoe UI" w:cs="Segoe UI"/>
          <w:b/>
          <w:bCs/>
        </w:rPr>
        <w:t xml:space="preserve"> </w:t>
      </w:r>
      <w:r>
        <w:rPr>
          <w:rFonts w:ascii="Segoe UI" w:hAnsi="Segoe UI" w:cs="Segoe UI"/>
        </w:rPr>
        <w:t>1. fāzes klīnisko pētījumu laboratorija apvienojumā ar bioekvivalnces pētījumu laboratoriju, kas izveidotas atbilstoši starptautiskās Good Clinical Practice prasībām, un analītiskā laboratorija, kas izveidota atbilstoši GLP prasībām, lai veiktu starptautiskajiem standartiem atbilstošu klīniskā pētījuma rezultātu izvērtēšanu. Atvērta tipa laboratorija RSU pakļautībā.</w:t>
      </w:r>
    </w:p>
    <w:p w14:paraId="6D4C755F" w14:textId="77777777" w:rsidR="007C6AB7" w:rsidRDefault="007C6AB7" w:rsidP="007C6AB7">
      <w:pPr>
        <w:pStyle w:val="Attls"/>
        <w:rPr>
          <w:rFonts w:ascii="Segoe UI" w:hAnsi="Segoe UI" w:cs="Segoe UI"/>
          <w:i/>
          <w:sz w:val="18"/>
          <w:szCs w:val="18"/>
          <w:u w:val="none"/>
          <w:vertAlign w:val="subscript"/>
        </w:rPr>
      </w:pPr>
      <w:r>
        <w:rPr>
          <w:u w:val="none"/>
          <w:lang w:eastAsia="lv-LV"/>
        </w:rPr>
        <w:lastRenderedPageBreak/>
        <w:drawing>
          <wp:anchor distT="0" distB="0" distL="114300" distR="114300" simplePos="0" relativeHeight="251658243" behindDoc="0" locked="1" layoutInCell="1" allowOverlap="1" wp14:anchorId="0989B368" wp14:editId="02B44F96">
            <wp:simplePos x="0" y="0"/>
            <wp:positionH relativeFrom="margin">
              <wp:posOffset>257810</wp:posOffset>
            </wp:positionH>
            <wp:positionV relativeFrom="paragraph">
              <wp:posOffset>529590</wp:posOffset>
            </wp:positionV>
            <wp:extent cx="5010150" cy="3190875"/>
            <wp:effectExtent l="0" t="0" r="0" b="9525"/>
            <wp:wrapTopAndBottom/>
            <wp:docPr id="4" name="Picture 4" descr="mpotenti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mpotential.pn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5010150" cy="3190875"/>
                    </a:xfrm>
                    <a:prstGeom prst="rect">
                      <a:avLst/>
                    </a:prstGeom>
                    <a:noFill/>
                  </pic:spPr>
                </pic:pic>
              </a:graphicData>
            </a:graphic>
            <wp14:sizeRelH relativeFrom="page">
              <wp14:pctWidth>0</wp14:pctWidth>
            </wp14:sizeRelH>
            <wp14:sizeRelV relativeFrom="page">
              <wp14:pctHeight>0</wp14:pctHeight>
            </wp14:sizeRelV>
          </wp:anchor>
        </w:drawing>
      </w:r>
      <w:r>
        <w:rPr>
          <w:rFonts w:ascii="Segoe UI" w:hAnsi="Segoe UI" w:cs="Segoe UI"/>
          <w:i/>
          <w:color w:val="002060"/>
          <w:sz w:val="18"/>
          <w:szCs w:val="18"/>
          <w:u w:val="none"/>
        </w:rPr>
        <w:t>Ilustrācija 15. Nacionālo farmācijas tirgu vērtība 2012. gadā (mljrd. $) un izaugsme 2012./2011. gadu (%)</w:t>
      </w:r>
    </w:p>
    <w:p w14:paraId="293FA42A" w14:textId="77777777" w:rsidR="007C6AB7" w:rsidRDefault="007C6AB7" w:rsidP="007C6AB7">
      <w:pPr>
        <w:rPr>
          <w:sz w:val="22"/>
          <w:szCs w:val="22"/>
        </w:rPr>
      </w:pPr>
    </w:p>
    <w:p w14:paraId="547BEBB5" w14:textId="77777777" w:rsidR="004A78A9" w:rsidRDefault="004A78A9" w:rsidP="004A78A9"/>
    <w:p w14:paraId="6BF5A905" w14:textId="0EC49C44" w:rsidR="004A78A9" w:rsidRDefault="004A78A9" w:rsidP="004A78A9">
      <w:pPr>
        <w:rPr>
          <w:highlight w:val="yellow"/>
        </w:rPr>
      </w:pPr>
    </w:p>
    <w:p w14:paraId="27ABA0D1" w14:textId="5C13212D" w:rsidR="00427990" w:rsidRPr="0052014B" w:rsidRDefault="00427990" w:rsidP="004A78A9">
      <w:r>
        <w:t xml:space="preserve">Aptuveni paredzamais līgumdarbu apjoms šīs programmas ietvaros no </w:t>
      </w:r>
      <w:r w:rsidR="00C1755C">
        <w:rPr>
          <w:rFonts w:ascii="Arial" w:hAnsi="Arial" w:cs="Arial"/>
          <w:color w:val="222222"/>
        </w:rPr>
        <w:t>FBMTKC</w:t>
      </w:r>
      <w:r>
        <w:t xml:space="preserve"> darbības uzsākšanas brīža tiek novērtēts vismaz </w:t>
      </w:r>
      <w:r w:rsidR="00C1755C">
        <w:t>1</w:t>
      </w:r>
      <w:r>
        <w:t xml:space="preserve"> milj. </w:t>
      </w:r>
      <w:r w:rsidRPr="008D7967">
        <w:rPr>
          <w:i/>
        </w:rPr>
        <w:t>euro</w:t>
      </w:r>
      <w:r>
        <w:t xml:space="preserve"> apjomā (2018. g. tas sasniedza</w:t>
      </w:r>
      <w:r w:rsidR="0052014B">
        <w:t xml:space="preserve"> aptuveni 600 tūkst</w:t>
      </w:r>
      <w:r>
        <w:t xml:space="preserve">. EUR rādītāju). </w:t>
      </w:r>
    </w:p>
    <w:p w14:paraId="44D4CDB5" w14:textId="152320AB" w:rsidR="00A34972" w:rsidRDefault="00A34972" w:rsidP="00A34972">
      <w:pPr>
        <w:pStyle w:val="Heading1"/>
        <w:pageBreakBefore w:val="0"/>
        <w:shd w:val="clear" w:color="auto" w:fill="auto"/>
        <w:spacing w:before="240" w:after="0" w:line="259" w:lineRule="auto"/>
        <w:ind w:left="720" w:hanging="360"/>
        <w:contextualSpacing w:val="0"/>
        <w:jc w:val="left"/>
        <w:rPr>
          <w:lang w:eastAsia="lv-LV"/>
        </w:rPr>
      </w:pPr>
      <w:bookmarkStart w:id="56" w:name="_Toc119072228"/>
      <w:r w:rsidRPr="00454639">
        <w:rPr>
          <w:lang w:eastAsia="lv-LV"/>
        </w:rPr>
        <w:t xml:space="preserve">Kompetences centra ieguldījums Latvijas </w:t>
      </w:r>
      <w:r w:rsidR="006E4748">
        <w:rPr>
          <w:lang w:eastAsia="lv-LV"/>
        </w:rPr>
        <w:t>V</w:t>
      </w:r>
      <w:r w:rsidRPr="00454639">
        <w:rPr>
          <w:lang w:eastAsia="lv-LV"/>
        </w:rPr>
        <w:t>i</w:t>
      </w:r>
      <w:r>
        <w:rPr>
          <w:lang w:eastAsia="lv-LV"/>
        </w:rPr>
        <w:t>edās specializācijas stratēģijā</w:t>
      </w:r>
      <w:bookmarkEnd w:id="56"/>
    </w:p>
    <w:p w14:paraId="32E46781" w14:textId="4D72C5A5" w:rsidR="00A34972" w:rsidRDefault="00A34972" w:rsidP="00A34972">
      <w:pPr>
        <w:pStyle w:val="Heading2"/>
      </w:pPr>
      <w:bookmarkStart w:id="57" w:name="_Toc119072229"/>
      <w:r w:rsidRPr="00A34972">
        <w:t>Sasniedzamie uzraudzības rādītāji</w:t>
      </w:r>
      <w:bookmarkEnd w:id="57"/>
    </w:p>
    <w:p w14:paraId="1DAE06F1" w14:textId="23FCA43E" w:rsidR="007C6AB7" w:rsidRDefault="007C6AB7" w:rsidP="00872E34">
      <w:r>
        <w:t>Kompetences centra iznākuma rādītāji ir visu Kompetences centra ietvaros veikto projektu rezultātu summa. Vienlaikus, plānojot iznākuma rādītājus, Kompetences centrs ņem vērā ar inovācijām un pētniecību saistīto nenoteiktību un to, ka Kompetences centra kopējie iznākuma rādītāji var būt mazāki nekā Kompetences centra plānoto projektu iznākuma rādītāju aritmētiskā summa, apzinoties, ka ne visi pētniecības projekti sasniegs plānotos rezultātus</w:t>
      </w:r>
      <w:r w:rsidR="00CF1BA2">
        <w:t>.</w:t>
      </w:r>
    </w:p>
    <w:p w14:paraId="4B24808D" w14:textId="037A6FE8" w:rsidR="00CF1BA2" w:rsidRPr="00F7180F" w:rsidRDefault="00CF1BA2" w:rsidP="00CF1BA2">
      <w:pPr>
        <w:spacing w:after="0"/>
        <w:rPr>
          <w:rFonts w:ascii="Segoe UI" w:eastAsia="Times New Roman" w:hAnsi="Segoe UI" w:cs="Times New Roman"/>
        </w:rPr>
      </w:pPr>
      <w:r w:rsidRPr="00F7180F">
        <w:rPr>
          <w:rFonts w:ascii="Segoe UI" w:eastAsia="Times New Roman" w:hAnsi="Segoe UI" w:cs="Times New Roman"/>
        </w:rPr>
        <w:t xml:space="preserve">Kompetences centrs savā darbībā veicinās šādus </w:t>
      </w:r>
      <w:r w:rsidR="00325918">
        <w:rPr>
          <w:rFonts w:ascii="Segoe UI" w:eastAsia="Times New Roman" w:hAnsi="Segoe UI" w:cs="Times New Roman"/>
          <w:b/>
        </w:rPr>
        <w:tab/>
      </w:r>
      <w:r w:rsidRPr="00F7180F">
        <w:rPr>
          <w:rFonts w:ascii="Segoe UI" w:eastAsia="Times New Roman" w:hAnsi="Segoe UI" w:cs="Times New Roman"/>
          <w:b/>
        </w:rPr>
        <w:t>rādītājus</w:t>
      </w:r>
      <w:r w:rsidRPr="00F7180F">
        <w:rPr>
          <w:rFonts w:ascii="Segoe UI" w:eastAsia="Times New Roman" w:hAnsi="Segoe UI" w:cs="Times New Roman"/>
        </w:rPr>
        <w:t xml:space="preserve"> līdz 2024. gada 30.septembrim:</w:t>
      </w:r>
    </w:p>
    <w:p w14:paraId="52647EBB" w14:textId="77777777" w:rsidR="00CF1BA2" w:rsidRPr="00F7180F" w:rsidRDefault="00CF1BA2" w:rsidP="006F31C1">
      <w:pPr>
        <w:numPr>
          <w:ilvl w:val="0"/>
          <w:numId w:val="29"/>
        </w:numPr>
        <w:shd w:val="clear" w:color="FFFFFF" w:fill="auto"/>
        <w:spacing w:after="60"/>
        <w:ind w:left="426"/>
        <w:rPr>
          <w:rFonts w:ascii="Segoe UI" w:eastAsia="Times New Roman" w:hAnsi="Segoe UI" w:cs="Times New Roman"/>
          <w:lang w:eastAsia="lv-LV"/>
        </w:rPr>
      </w:pPr>
      <w:r w:rsidRPr="00F7180F">
        <w:rPr>
          <w:rFonts w:ascii="Segoe UI" w:eastAsia="Times New Roman" w:hAnsi="Segoe UI" w:cs="Times New Roman"/>
          <w:lang w:eastAsia="lv-LV"/>
        </w:rPr>
        <w:t>apstiprināt projektus par vismaz 1 406 250.00 euro no 2022.gada 5.jūlija MK noteikumu Nr.418 “Latvijas Atveseļošanas un noturības mehānisma plāna 5.1.r. reformu un investīciju virziena "Produktivitātes paaugstināšana caur investīciju apjoma palielināšanu P&amp;A" 5.1.1.r. reformas "Inovāciju pārvaldība un privāto P&amp;A investīciju motivācija" 5.1.1.2.i. investīcijas "Atbalsta instruments inovāciju klasteru attīstībai" īstenošanas noteikumi kompetences centru ietvaros” 5. punktā noteiktā finansējuma;</w:t>
      </w:r>
    </w:p>
    <w:p w14:paraId="745EC025" w14:textId="3DC3AA89" w:rsidR="00CF1BA2" w:rsidRPr="00F7180F" w:rsidRDefault="00CF1BA2" w:rsidP="006F31C1">
      <w:pPr>
        <w:numPr>
          <w:ilvl w:val="0"/>
          <w:numId w:val="29"/>
        </w:numPr>
        <w:shd w:val="clear" w:color="FFFFFF" w:fill="auto"/>
        <w:spacing w:after="60"/>
        <w:ind w:left="426"/>
        <w:rPr>
          <w:rFonts w:ascii="Segoe UI" w:eastAsia="Times New Roman" w:hAnsi="Segoe UI" w:cs="Times New Roman"/>
          <w:lang w:eastAsia="lv-LV"/>
        </w:rPr>
      </w:pPr>
      <w:r w:rsidRPr="00F7180F">
        <w:rPr>
          <w:rFonts w:ascii="Segoe UI" w:eastAsia="Times New Roman" w:hAnsi="Segoe UI" w:cs="Times New Roman"/>
          <w:lang w:eastAsia="lv-LV"/>
        </w:rPr>
        <w:t>komersantu skaits, kas saņēmuši atbalstu –</w:t>
      </w:r>
      <w:r w:rsidR="005B59BE">
        <w:rPr>
          <w:rFonts w:ascii="Segoe UI" w:eastAsia="Times New Roman" w:hAnsi="Segoe UI" w:cs="Times New Roman"/>
          <w:lang w:eastAsia="lv-LV"/>
        </w:rPr>
        <w:t xml:space="preserve"> vismaz</w:t>
      </w:r>
      <w:r w:rsidRPr="00F7180F">
        <w:rPr>
          <w:rFonts w:ascii="Segoe UI" w:eastAsia="Times New Roman" w:hAnsi="Segoe UI" w:cs="Times New Roman"/>
          <w:lang w:eastAsia="lv-LV"/>
        </w:rPr>
        <w:t xml:space="preserve"> 6.</w:t>
      </w:r>
    </w:p>
    <w:p w14:paraId="71FE4113" w14:textId="0B23CFDB" w:rsidR="00CF1BA2" w:rsidRPr="00F7180F" w:rsidRDefault="00CF1BA2" w:rsidP="00CF1BA2">
      <w:pPr>
        <w:spacing w:after="0"/>
        <w:rPr>
          <w:rFonts w:ascii="Segoe UI" w:eastAsia="Times New Roman" w:hAnsi="Segoe UI" w:cs="Times New Roman"/>
        </w:rPr>
      </w:pPr>
      <w:r w:rsidRPr="00F7180F">
        <w:rPr>
          <w:rFonts w:ascii="Segoe UI" w:eastAsia="Times New Roman" w:hAnsi="Segoe UI" w:cs="Times New Roman"/>
        </w:rPr>
        <w:lastRenderedPageBreak/>
        <w:t xml:space="preserve">Kompetences centrs savā darbībā veicinās šādus </w:t>
      </w:r>
      <w:r w:rsidRPr="00F7180F">
        <w:rPr>
          <w:rFonts w:ascii="Segoe UI" w:eastAsia="Times New Roman" w:hAnsi="Segoe UI" w:cs="Times New Roman"/>
          <w:b/>
        </w:rPr>
        <w:t>rādītājus</w:t>
      </w:r>
      <w:r w:rsidRPr="00F7180F">
        <w:rPr>
          <w:rFonts w:ascii="Segoe UI" w:eastAsia="Times New Roman" w:hAnsi="Segoe UI" w:cs="Times New Roman"/>
        </w:rPr>
        <w:t xml:space="preserve"> līdz 2025. gada 30.septembrim:</w:t>
      </w:r>
    </w:p>
    <w:p w14:paraId="42137D00" w14:textId="77777777" w:rsidR="00CF1BA2" w:rsidRPr="00F7180F" w:rsidRDefault="00CF1BA2" w:rsidP="006F31C1">
      <w:pPr>
        <w:numPr>
          <w:ilvl w:val="0"/>
          <w:numId w:val="29"/>
        </w:numPr>
        <w:shd w:val="clear" w:color="FFFFFF" w:fill="auto"/>
        <w:spacing w:after="60"/>
        <w:ind w:left="426"/>
        <w:rPr>
          <w:rFonts w:ascii="Segoe UI" w:eastAsia="Times New Roman" w:hAnsi="Segoe UI" w:cs="Times New Roman"/>
          <w:lang w:eastAsia="lv-LV"/>
        </w:rPr>
      </w:pPr>
      <w:r w:rsidRPr="00F7180F">
        <w:rPr>
          <w:rFonts w:ascii="Segoe UI" w:eastAsia="Times New Roman" w:hAnsi="Segoe UI" w:cs="Times New Roman"/>
          <w:lang w:eastAsia="lv-LV"/>
        </w:rPr>
        <w:t>apstiprināt projektus par vismaz 2 187 500.00 euro no 2022.gada 5.jūlija MK noteikumu Nr.418 “Latvijas Atveseļošanas un noturības mehānisma plāna 5.1.r. reformu un investīciju virziena "Produktivitātes paaugstināšana caur investīciju apjoma palielināšanu P&amp;A" 5.1.1.r. reformas "Inovāciju pārvaldība un privāto P&amp;A investīciju motivācija" 5.1.1.2.i. investīcijas "Atbalsta instruments inovāciju klasteru attīstībai" īstenošanas noteikumi kompetences centru ietvaros” 5. punktā noteiktā finansējuma;</w:t>
      </w:r>
    </w:p>
    <w:p w14:paraId="00AF2FA9" w14:textId="33DA8131" w:rsidR="00CF1BA2" w:rsidRPr="00F7180F" w:rsidRDefault="00CF1BA2" w:rsidP="006F31C1">
      <w:pPr>
        <w:numPr>
          <w:ilvl w:val="0"/>
          <w:numId w:val="29"/>
        </w:numPr>
        <w:shd w:val="clear" w:color="FFFFFF" w:fill="auto"/>
        <w:spacing w:after="60"/>
        <w:ind w:left="426"/>
        <w:rPr>
          <w:rFonts w:ascii="Segoe UI" w:eastAsia="Times New Roman" w:hAnsi="Segoe UI" w:cs="Times New Roman"/>
          <w:lang w:eastAsia="lv-LV"/>
        </w:rPr>
      </w:pPr>
      <w:r w:rsidRPr="00F7180F">
        <w:rPr>
          <w:rFonts w:ascii="Segoe UI" w:eastAsia="Times New Roman" w:hAnsi="Segoe UI" w:cs="Times New Roman"/>
          <w:lang w:eastAsia="lv-LV"/>
        </w:rPr>
        <w:t xml:space="preserve">komersantu skaits, kas saņēmuši atbalstu – </w:t>
      </w:r>
      <w:r w:rsidR="005B59BE">
        <w:rPr>
          <w:rFonts w:ascii="Segoe UI" w:eastAsia="Times New Roman" w:hAnsi="Segoe UI" w:cs="Times New Roman"/>
          <w:lang w:eastAsia="lv-LV"/>
        </w:rPr>
        <w:t xml:space="preserve">vismaz </w:t>
      </w:r>
      <w:r w:rsidRPr="00F7180F">
        <w:rPr>
          <w:rFonts w:ascii="Segoe UI" w:eastAsia="Times New Roman" w:hAnsi="Segoe UI" w:cs="Times New Roman"/>
          <w:lang w:eastAsia="lv-LV"/>
        </w:rPr>
        <w:t>7.</w:t>
      </w:r>
    </w:p>
    <w:p w14:paraId="5BC424E2" w14:textId="77E9BD5A" w:rsidR="00CF1BA2" w:rsidRPr="00F7180F" w:rsidRDefault="00CF1BA2" w:rsidP="00CF1BA2">
      <w:pPr>
        <w:spacing w:after="0"/>
        <w:rPr>
          <w:rFonts w:ascii="Segoe UI" w:eastAsia="Times New Roman" w:hAnsi="Segoe UI" w:cs="Times New Roman"/>
        </w:rPr>
      </w:pPr>
      <w:r w:rsidRPr="00F7180F">
        <w:rPr>
          <w:rFonts w:ascii="Segoe UI" w:eastAsia="Times New Roman" w:hAnsi="Segoe UI" w:cs="Times New Roman"/>
        </w:rPr>
        <w:t xml:space="preserve">Kompetences centrs savā darbībā veicinās šādus </w:t>
      </w:r>
      <w:r w:rsidRPr="00F7180F">
        <w:rPr>
          <w:rFonts w:ascii="Segoe UI" w:eastAsia="Times New Roman" w:hAnsi="Segoe UI" w:cs="Times New Roman"/>
          <w:b/>
        </w:rPr>
        <w:t>rādītājus</w:t>
      </w:r>
      <w:r w:rsidRPr="00F7180F">
        <w:rPr>
          <w:rFonts w:ascii="Segoe UI" w:eastAsia="Times New Roman" w:hAnsi="Segoe UI" w:cs="Times New Roman"/>
        </w:rPr>
        <w:t xml:space="preserve"> līdz </w:t>
      </w:r>
      <w:r w:rsidRPr="00F7180F">
        <w:rPr>
          <w:rFonts w:ascii="Arial" w:eastAsia="Times New Roman" w:hAnsi="Arial" w:cs="Arial"/>
          <w:color w:val="414142"/>
        </w:rPr>
        <w:t>2026</w:t>
      </w:r>
      <w:r w:rsidRPr="0008013A">
        <w:rPr>
          <w:rFonts w:ascii="Arial" w:eastAsia="Times New Roman" w:hAnsi="Arial" w:cs="Times New Roman"/>
          <w:color w:val="414142"/>
        </w:rPr>
        <w:t xml:space="preserve">. gada </w:t>
      </w:r>
      <w:r w:rsidRPr="00F7180F">
        <w:rPr>
          <w:rFonts w:ascii="Arial" w:eastAsia="Times New Roman" w:hAnsi="Arial" w:cs="Arial"/>
          <w:color w:val="414142"/>
        </w:rPr>
        <w:t>30. jūnijam</w:t>
      </w:r>
      <w:r w:rsidRPr="00F7180F">
        <w:rPr>
          <w:rFonts w:ascii="Segoe UI" w:eastAsia="Times New Roman" w:hAnsi="Segoe UI" w:cs="Times New Roman"/>
        </w:rPr>
        <w:t>:</w:t>
      </w:r>
    </w:p>
    <w:p w14:paraId="0EC7DEAD" w14:textId="1A730F41" w:rsidR="00CF1BA2" w:rsidRPr="00F7180F" w:rsidRDefault="00CF1BA2" w:rsidP="006F31C1">
      <w:pPr>
        <w:numPr>
          <w:ilvl w:val="0"/>
          <w:numId w:val="29"/>
        </w:numPr>
        <w:shd w:val="clear" w:color="FFFFFF" w:fill="auto"/>
        <w:spacing w:after="60"/>
        <w:ind w:left="426"/>
        <w:rPr>
          <w:rFonts w:ascii="Segoe UI" w:eastAsia="Times New Roman" w:hAnsi="Segoe UI" w:cs="Times New Roman"/>
          <w:lang w:eastAsia="lv-LV"/>
        </w:rPr>
      </w:pPr>
      <w:r w:rsidRPr="00F7180F">
        <w:rPr>
          <w:rFonts w:ascii="Segoe UI" w:eastAsia="Times New Roman" w:hAnsi="Segoe UI" w:cs="Times New Roman"/>
          <w:lang w:eastAsia="lv-LV"/>
        </w:rPr>
        <w:t>apstiprināt projektus par vismaz 2 81</w:t>
      </w:r>
      <w:r w:rsidR="00536CD9">
        <w:rPr>
          <w:rFonts w:ascii="Segoe UI" w:eastAsia="Times New Roman" w:hAnsi="Segoe UI" w:cs="Times New Roman"/>
          <w:lang w:eastAsia="lv-LV"/>
        </w:rPr>
        <w:t>5</w:t>
      </w:r>
      <w:r w:rsidRPr="00F7180F">
        <w:rPr>
          <w:rFonts w:ascii="Segoe UI" w:eastAsia="Times New Roman" w:hAnsi="Segoe UI" w:cs="Times New Roman"/>
          <w:lang w:eastAsia="lv-LV"/>
        </w:rPr>
        <w:t xml:space="preserve"> </w:t>
      </w:r>
      <w:r w:rsidR="00536CD9">
        <w:rPr>
          <w:rFonts w:ascii="Segoe UI" w:eastAsia="Times New Roman" w:hAnsi="Segoe UI" w:cs="Times New Roman"/>
          <w:lang w:eastAsia="lv-LV"/>
        </w:rPr>
        <w:t>0</w:t>
      </w:r>
      <w:r w:rsidRPr="00F7180F">
        <w:rPr>
          <w:rFonts w:ascii="Segoe UI" w:eastAsia="Times New Roman" w:hAnsi="Segoe UI" w:cs="Times New Roman"/>
          <w:lang w:eastAsia="lv-LV"/>
        </w:rPr>
        <w:t>00.00 euro no 2022.gada 5.jūlija MK noteikumu Nr.418 “Latvijas Atveseļošanas un noturības mehānisma plāna 5.1.r. reformu un investīciju virziena "Produktivitātes paaugstināšana caur investīciju apjoma palielināšanu P&amp;A" 5.1.1.r. reformas "Inovāciju pārvaldība un privāto P&amp;A investīciju motivācija" 5.1.1.2.i. investīcijas "Atbalsta instruments inovāciju klasteru attīstībai" īstenošanas noteikumi kompetences centru ietvaros” 5. punktā noteiktā finansējuma;</w:t>
      </w:r>
    </w:p>
    <w:p w14:paraId="24B6595B" w14:textId="4C9F0E3F" w:rsidR="00CF1BA2" w:rsidRPr="00F7180F" w:rsidRDefault="00CF1BA2" w:rsidP="006F31C1">
      <w:pPr>
        <w:numPr>
          <w:ilvl w:val="0"/>
          <w:numId w:val="29"/>
        </w:numPr>
        <w:shd w:val="clear" w:color="FFFFFF" w:fill="auto"/>
        <w:spacing w:after="60"/>
        <w:ind w:left="426"/>
        <w:rPr>
          <w:rFonts w:ascii="Segoe UI" w:eastAsia="Times New Roman" w:hAnsi="Segoe UI" w:cs="Times New Roman"/>
          <w:lang w:eastAsia="lv-LV"/>
        </w:rPr>
      </w:pPr>
      <w:r w:rsidRPr="00F7180F">
        <w:rPr>
          <w:rFonts w:ascii="Segoe UI" w:eastAsia="Times New Roman" w:hAnsi="Segoe UI" w:cs="Times New Roman"/>
          <w:lang w:eastAsia="lv-LV"/>
        </w:rPr>
        <w:t xml:space="preserve">komersantu skaits, kas saņēmuši atbalstu – </w:t>
      </w:r>
      <w:r w:rsidR="005B59BE">
        <w:rPr>
          <w:rFonts w:ascii="Segoe UI" w:eastAsia="Times New Roman" w:hAnsi="Segoe UI" w:cs="Times New Roman"/>
          <w:lang w:eastAsia="lv-LV"/>
        </w:rPr>
        <w:t xml:space="preserve">vismaz </w:t>
      </w:r>
      <w:r w:rsidRPr="00F7180F">
        <w:rPr>
          <w:rFonts w:ascii="Segoe UI" w:eastAsia="Times New Roman" w:hAnsi="Segoe UI" w:cs="Times New Roman"/>
          <w:lang w:eastAsia="lv-LV"/>
        </w:rPr>
        <w:t>8;</w:t>
      </w:r>
    </w:p>
    <w:p w14:paraId="3BEC9317" w14:textId="77777777" w:rsidR="00CF1BA2" w:rsidRDefault="00CF1BA2" w:rsidP="00872E34"/>
    <w:p w14:paraId="24FF31C6" w14:textId="6AD28A31" w:rsidR="00872E34" w:rsidRDefault="00330F15" w:rsidP="00872E34">
      <w:r>
        <w:t>Kompetences centrā iesaistītie Sadarbības partneri paredz arī šādas papildus darbības, kas atspoguļosies KC darbības rādītājos</w:t>
      </w:r>
      <w:r w:rsidR="00872E34">
        <w:t>:</w:t>
      </w:r>
    </w:p>
    <w:p w14:paraId="1DEF9E2A" w14:textId="77777777" w:rsidR="00330F15" w:rsidRDefault="00330F15" w:rsidP="006F31C1">
      <w:pPr>
        <w:pStyle w:val="BulletsF"/>
        <w:numPr>
          <w:ilvl w:val="0"/>
          <w:numId w:val="29"/>
        </w:numPr>
        <w:spacing w:before="120"/>
        <w:ind w:left="450"/>
        <w:rPr>
          <w:szCs w:val="22"/>
        </w:rPr>
      </w:pPr>
      <w:bookmarkStart w:id="58" w:name="_Toc450925115"/>
      <w:r>
        <w:rPr>
          <w:szCs w:val="22"/>
        </w:rPr>
        <w:t xml:space="preserve">regulāru Sadarbības partneru projektu īstenošanas progresa monitoringu un pārbaudi atbilstoši plānotājiem starprezultātiem un projektu īstenošanas laika grafikiem; tiks uzturēta regulāra komunikācija ar projektu īstenotājiem un atskaišu dokumentu uzraudzība, lai laicīgi identificētu jebkādus riskus, kas var viest izmaiņas projektu īstenošanā; </w:t>
      </w:r>
    </w:p>
    <w:p w14:paraId="0C936D6E" w14:textId="77777777" w:rsidR="00330F15" w:rsidRDefault="00330F15" w:rsidP="006F31C1">
      <w:pPr>
        <w:pStyle w:val="BulletsF"/>
        <w:numPr>
          <w:ilvl w:val="0"/>
          <w:numId w:val="29"/>
        </w:numPr>
        <w:spacing w:before="120"/>
        <w:ind w:left="450"/>
        <w:rPr>
          <w:szCs w:val="22"/>
        </w:rPr>
      </w:pPr>
      <w:r>
        <w:rPr>
          <w:szCs w:val="22"/>
        </w:rPr>
        <w:t xml:space="preserve">regulāra </w:t>
      </w:r>
      <w:r w:rsidRPr="0025011E">
        <w:rPr>
          <w:szCs w:val="22"/>
        </w:rPr>
        <w:t>komersantu un pētniecības un zināšanu izplatīšanas organizāciju pētnieku koppublikāciju skait</w:t>
      </w:r>
      <w:r>
        <w:rPr>
          <w:szCs w:val="22"/>
        </w:rPr>
        <w:t xml:space="preserve">a uzraudzība; </w:t>
      </w:r>
    </w:p>
    <w:p w14:paraId="0ED9C2F8" w14:textId="77777777" w:rsidR="00330F15" w:rsidRPr="009E4621" w:rsidRDefault="00330F15" w:rsidP="006F31C1">
      <w:pPr>
        <w:pStyle w:val="BulletsF"/>
        <w:numPr>
          <w:ilvl w:val="0"/>
          <w:numId w:val="29"/>
        </w:numPr>
        <w:spacing w:before="120"/>
        <w:ind w:left="450"/>
        <w:rPr>
          <w:szCs w:val="22"/>
        </w:rPr>
      </w:pPr>
      <w:r>
        <w:rPr>
          <w:szCs w:val="22"/>
        </w:rPr>
        <w:t>Sadarbības partneru dalības stimulēšana nozares, starpnozaru vai starptautiskajos pasākumos, kā arī iekļaujot vismaz vienu organizētu konferenci un semināri katru gadu;</w:t>
      </w:r>
    </w:p>
    <w:p w14:paraId="53196BCD" w14:textId="77777777" w:rsidR="00330F15" w:rsidRPr="007B4A2E" w:rsidRDefault="00330F15" w:rsidP="006F31C1">
      <w:pPr>
        <w:pStyle w:val="BulletsF"/>
        <w:numPr>
          <w:ilvl w:val="0"/>
          <w:numId w:val="29"/>
        </w:numPr>
        <w:spacing w:before="120"/>
        <w:ind w:left="450"/>
        <w:rPr>
          <w:szCs w:val="22"/>
        </w:rPr>
      </w:pPr>
      <w:r>
        <w:rPr>
          <w:szCs w:val="22"/>
        </w:rPr>
        <w:t>jauno komersantu iesaistīšanas pasākumu īstenošana un esošo atbalstīto komersantu uzskaite;</w:t>
      </w:r>
    </w:p>
    <w:p w14:paraId="11496ACC" w14:textId="77777777" w:rsidR="00330F15" w:rsidRPr="007B4A2E" w:rsidRDefault="00330F15" w:rsidP="006F31C1">
      <w:pPr>
        <w:pStyle w:val="BulletsF"/>
        <w:numPr>
          <w:ilvl w:val="0"/>
          <w:numId w:val="29"/>
        </w:numPr>
        <w:spacing w:before="120"/>
        <w:ind w:left="450"/>
        <w:rPr>
          <w:szCs w:val="22"/>
        </w:rPr>
      </w:pPr>
      <w:r>
        <w:rPr>
          <w:szCs w:val="22"/>
        </w:rPr>
        <w:t>komersantu stimulēšana patentēt vai slēgt</w:t>
      </w:r>
      <w:r w:rsidRPr="007B4A2E">
        <w:rPr>
          <w:szCs w:val="22"/>
        </w:rPr>
        <w:t xml:space="preserve"> licences līgumus par pētniecības projekta īstenošanas rezultātā radītā intelektuālā īpašuma komercializēšanu;</w:t>
      </w:r>
    </w:p>
    <w:p w14:paraId="4892C6FC" w14:textId="77777777" w:rsidR="00330F15" w:rsidRPr="007B4A2E" w:rsidRDefault="00330F15" w:rsidP="006F31C1">
      <w:pPr>
        <w:pStyle w:val="BulletsF"/>
        <w:numPr>
          <w:ilvl w:val="0"/>
          <w:numId w:val="29"/>
        </w:numPr>
        <w:spacing w:before="120"/>
        <w:ind w:left="450"/>
        <w:rPr>
          <w:szCs w:val="22"/>
        </w:rPr>
      </w:pPr>
      <w:r>
        <w:rPr>
          <w:szCs w:val="22"/>
        </w:rPr>
        <w:t xml:space="preserve">komersantu apgrozījuma </w:t>
      </w:r>
      <w:r w:rsidRPr="007B4A2E">
        <w:rPr>
          <w:szCs w:val="22"/>
        </w:rPr>
        <w:t>pēc pētniecības rezultātu ieviešanas saimnieciskajā darbībā vai komercializēšanas</w:t>
      </w:r>
      <w:r>
        <w:rPr>
          <w:szCs w:val="22"/>
        </w:rPr>
        <w:t xml:space="preserve"> regulāra uzraudzība</w:t>
      </w:r>
      <w:r w:rsidRPr="007B4A2E">
        <w:rPr>
          <w:szCs w:val="22"/>
        </w:rPr>
        <w:t>;</w:t>
      </w:r>
    </w:p>
    <w:p w14:paraId="41E89833" w14:textId="77777777" w:rsidR="00330F15" w:rsidRPr="007B4A2E" w:rsidRDefault="00330F15" w:rsidP="006F31C1">
      <w:pPr>
        <w:pStyle w:val="BulletsF"/>
        <w:numPr>
          <w:ilvl w:val="0"/>
          <w:numId w:val="29"/>
        </w:numPr>
        <w:spacing w:before="120"/>
        <w:ind w:left="450"/>
        <w:rPr>
          <w:szCs w:val="22"/>
        </w:rPr>
      </w:pPr>
      <w:r>
        <w:rPr>
          <w:szCs w:val="22"/>
        </w:rPr>
        <w:t>j</w:t>
      </w:r>
      <w:r w:rsidRPr="007B4A2E">
        <w:rPr>
          <w:szCs w:val="22"/>
        </w:rPr>
        <w:t xml:space="preserve">auno produktu vai jaunu tirgu apguves rezultātā </w:t>
      </w:r>
      <w:r>
        <w:rPr>
          <w:szCs w:val="22"/>
        </w:rPr>
        <w:t>sasniegtā nodarbinātības pieauguma</w:t>
      </w:r>
      <w:r w:rsidRPr="007B4A2E">
        <w:rPr>
          <w:szCs w:val="22"/>
        </w:rPr>
        <w:t xml:space="preserve"> atbalstītajos komersantos</w:t>
      </w:r>
      <w:r>
        <w:rPr>
          <w:szCs w:val="22"/>
        </w:rPr>
        <w:t xml:space="preserve"> regulārs monitorings</w:t>
      </w:r>
      <w:r w:rsidRPr="007B4A2E">
        <w:rPr>
          <w:szCs w:val="22"/>
        </w:rPr>
        <w:t>;</w:t>
      </w:r>
    </w:p>
    <w:p w14:paraId="1323B086" w14:textId="3E1374D2" w:rsidR="00330F15" w:rsidRDefault="00330F15" w:rsidP="006F31C1">
      <w:pPr>
        <w:pStyle w:val="BulletsF"/>
        <w:numPr>
          <w:ilvl w:val="0"/>
          <w:numId w:val="29"/>
        </w:numPr>
        <w:spacing w:before="120"/>
        <w:ind w:left="450"/>
        <w:rPr>
          <w:szCs w:val="22"/>
        </w:rPr>
      </w:pPr>
      <w:r>
        <w:rPr>
          <w:szCs w:val="22"/>
        </w:rPr>
        <w:t>Starpnozaru projektu īstenošanas stimulēšana</w:t>
      </w:r>
      <w:r w:rsidR="001806CA">
        <w:rPr>
          <w:szCs w:val="22"/>
        </w:rPr>
        <w:t xml:space="preserve">, </w:t>
      </w:r>
      <w:r>
        <w:rPr>
          <w:szCs w:val="22"/>
        </w:rPr>
        <w:t xml:space="preserve">šādu projektu popularizēšana nozares komersantu vidū; </w:t>
      </w:r>
    </w:p>
    <w:p w14:paraId="5B37CFE8" w14:textId="4B1CFA0B" w:rsidR="00330F15" w:rsidRDefault="00330F15" w:rsidP="006F31C1">
      <w:pPr>
        <w:pStyle w:val="BulletsF"/>
        <w:numPr>
          <w:ilvl w:val="0"/>
          <w:numId w:val="29"/>
        </w:numPr>
        <w:spacing w:before="120"/>
        <w:ind w:left="450"/>
        <w:rPr>
          <w:szCs w:val="22"/>
        </w:rPr>
      </w:pPr>
      <w:r>
        <w:rPr>
          <w:szCs w:val="22"/>
        </w:rPr>
        <w:t>regulāra atskaitīšanās par sasniegtajiem rādītājiem atbilstoši CFLA pieprasījumiem;</w:t>
      </w:r>
    </w:p>
    <w:p w14:paraId="072FDF36" w14:textId="39C115C0" w:rsidR="00330F15" w:rsidRDefault="00330F15" w:rsidP="006F31C1">
      <w:pPr>
        <w:pStyle w:val="BulletsF"/>
        <w:numPr>
          <w:ilvl w:val="0"/>
          <w:numId w:val="29"/>
        </w:numPr>
        <w:spacing w:before="120"/>
        <w:ind w:left="450"/>
      </w:pPr>
      <w:r>
        <w:rPr>
          <w:szCs w:val="22"/>
        </w:rPr>
        <w:t>regulāri publicitātes pasākumi, ziņojot par projektu īstenošanas progresu KC mājaslapā</w:t>
      </w:r>
      <w:r>
        <w:t>.</w:t>
      </w:r>
    </w:p>
    <w:p w14:paraId="7A4D56AE" w14:textId="77777777" w:rsidR="00872E34" w:rsidRPr="00BC22D2" w:rsidRDefault="00872E34" w:rsidP="00872E34">
      <w:pPr>
        <w:pStyle w:val="Heading2"/>
        <w:shd w:val="clear" w:color="auto" w:fill="auto"/>
        <w:spacing w:after="0"/>
        <w:ind w:left="576" w:hanging="576"/>
        <w:contextualSpacing w:val="0"/>
        <w:jc w:val="left"/>
      </w:pPr>
      <w:bookmarkStart w:id="59" w:name="_Toc119072230"/>
      <w:r w:rsidRPr="00BC22D2">
        <w:lastRenderedPageBreak/>
        <w:t>Stratēģija kā kompetences centrs sasniegs nodefinētos uzraudzības rādītājus</w:t>
      </w:r>
      <w:bookmarkEnd w:id="58"/>
      <w:bookmarkEnd w:id="59"/>
    </w:p>
    <w:p w14:paraId="040341AC" w14:textId="2F3A87F5" w:rsidR="00872E34" w:rsidRDefault="00872E34" w:rsidP="00872E34">
      <w:pPr>
        <w:keepNext/>
      </w:pPr>
      <w:r>
        <w:t xml:space="preserve">Kompetences centra stratēģijas mērķi un uzraudzības rādītāji ir tā ietvaros atbalstīto projektu rezultatīvie rādītāji. Tāpēc uzraudzības rādītājus Kompetences centrs stratēģija balstās uz </w:t>
      </w:r>
      <w:r w:rsidR="00330F15">
        <w:t>šādiem</w:t>
      </w:r>
      <w:r>
        <w:t xml:space="preserve"> principiem:</w:t>
      </w:r>
    </w:p>
    <w:p w14:paraId="0BFB2068" w14:textId="77777777" w:rsidR="00872E34" w:rsidRPr="0093664A" w:rsidRDefault="00872E34" w:rsidP="006F31C1">
      <w:pPr>
        <w:pStyle w:val="ListParagraph"/>
        <w:keepNext/>
        <w:numPr>
          <w:ilvl w:val="0"/>
          <w:numId w:val="17"/>
        </w:numPr>
        <w:spacing w:after="0"/>
      </w:pPr>
      <w:r w:rsidRPr="0093664A">
        <w:t>Pamatotas ambīcijas atbalstoša projektu atlase</w:t>
      </w:r>
      <w:r>
        <w:t>;</w:t>
      </w:r>
    </w:p>
    <w:p w14:paraId="3C16DCBF" w14:textId="77777777" w:rsidR="00872E34" w:rsidRPr="0093664A" w:rsidRDefault="00872E34" w:rsidP="006F31C1">
      <w:pPr>
        <w:pStyle w:val="ListParagraph"/>
        <w:keepNext/>
        <w:numPr>
          <w:ilvl w:val="0"/>
          <w:numId w:val="17"/>
        </w:numPr>
        <w:spacing w:after="0"/>
      </w:pPr>
      <w:r w:rsidRPr="0093664A">
        <w:t>Inovācijas atbalstoša projektu izpildes uzraudzība</w:t>
      </w:r>
      <w:r>
        <w:t>;</w:t>
      </w:r>
    </w:p>
    <w:p w14:paraId="541F503F" w14:textId="77777777" w:rsidR="00872E34" w:rsidRPr="0093664A" w:rsidRDefault="00872E34" w:rsidP="006F31C1">
      <w:pPr>
        <w:pStyle w:val="ListParagraph"/>
        <w:keepNext/>
        <w:numPr>
          <w:ilvl w:val="0"/>
          <w:numId w:val="17"/>
        </w:numPr>
        <w:spacing w:after="0"/>
      </w:pPr>
      <w:r w:rsidRPr="0093664A">
        <w:t>Nenoteiktības ietekmi kontrolējoša risku vadība</w:t>
      </w:r>
      <w:r>
        <w:t>;</w:t>
      </w:r>
    </w:p>
    <w:p w14:paraId="505657F4" w14:textId="77777777" w:rsidR="00872E34" w:rsidRPr="0093664A" w:rsidRDefault="00872E34" w:rsidP="006F31C1">
      <w:pPr>
        <w:pStyle w:val="ListParagraph"/>
        <w:keepNext/>
        <w:numPr>
          <w:ilvl w:val="0"/>
          <w:numId w:val="17"/>
        </w:numPr>
        <w:spacing w:after="0"/>
      </w:pPr>
      <w:r w:rsidRPr="0093664A">
        <w:t>Inovāciju konsultācijas un birokrātiju mazinošas IT sistēmas</w:t>
      </w:r>
      <w:r>
        <w:t>;</w:t>
      </w:r>
    </w:p>
    <w:p w14:paraId="1B790808" w14:textId="77777777" w:rsidR="00872E34" w:rsidRPr="0093664A" w:rsidRDefault="00872E34" w:rsidP="006F31C1">
      <w:pPr>
        <w:pStyle w:val="ListParagraph"/>
        <w:keepNext/>
        <w:numPr>
          <w:ilvl w:val="0"/>
          <w:numId w:val="17"/>
        </w:numPr>
        <w:spacing w:after="0"/>
      </w:pPr>
      <w:r w:rsidRPr="0093664A">
        <w:t>Tīklošanās</w:t>
      </w:r>
      <w:r>
        <w:t xml:space="preserve"> un informācijas apmaiņa.</w:t>
      </w:r>
    </w:p>
    <w:p w14:paraId="0D35CCF6" w14:textId="77777777" w:rsidR="00872E34" w:rsidRDefault="00872E34" w:rsidP="00872E34">
      <w:pPr>
        <w:pStyle w:val="ListParagraph"/>
        <w:keepNext/>
      </w:pPr>
      <w:r>
        <w:rPr>
          <w:noProof/>
          <w:lang w:eastAsia="lv-LV"/>
        </w:rPr>
        <w:drawing>
          <wp:inline distT="0" distB="0" distL="0" distR="0" wp14:anchorId="41BA613D" wp14:editId="263145DE">
            <wp:extent cx="5486400" cy="3200400"/>
            <wp:effectExtent l="19050" t="19050" r="38100" b="19050"/>
            <wp:docPr id="18" name="Diagram 1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7" r:lo="rId48" r:qs="rId49" r:cs="rId50"/>
              </a:graphicData>
            </a:graphic>
          </wp:inline>
        </w:drawing>
      </w:r>
    </w:p>
    <w:p w14:paraId="6404B9BB" w14:textId="39C8BB11" w:rsidR="00872E34" w:rsidRDefault="00872E34" w:rsidP="00872E34">
      <w:pPr>
        <w:pStyle w:val="Caption"/>
      </w:pPr>
      <w:r>
        <w:t xml:space="preserve">Ilustrācija </w:t>
      </w:r>
      <w:r w:rsidR="009B704C">
        <w:rPr>
          <w:noProof/>
        </w:rPr>
        <w:fldChar w:fldCharType="begin"/>
      </w:r>
      <w:r w:rsidR="009B704C">
        <w:rPr>
          <w:noProof/>
        </w:rPr>
        <w:instrText xml:space="preserve"> SEQ Ilustrācija \* ARABIC </w:instrText>
      </w:r>
      <w:r w:rsidR="009B704C">
        <w:rPr>
          <w:noProof/>
        </w:rPr>
        <w:fldChar w:fldCharType="separate"/>
      </w:r>
      <w:r w:rsidR="0066799B">
        <w:rPr>
          <w:noProof/>
        </w:rPr>
        <w:t>15</w:t>
      </w:r>
      <w:r w:rsidR="009B704C">
        <w:rPr>
          <w:noProof/>
        </w:rPr>
        <w:fldChar w:fldCharType="end"/>
      </w:r>
      <w:r>
        <w:t>. Uzraudzības rezultātu sasniegšanas principi</w:t>
      </w:r>
    </w:p>
    <w:p w14:paraId="722E5D0B" w14:textId="77777777" w:rsidR="007001DE" w:rsidRDefault="007001DE" w:rsidP="007001DE">
      <w:pPr>
        <w:keepNext/>
      </w:pPr>
      <w:r w:rsidRPr="007B4A2E">
        <w:t>Daļa no mērķiem, piemēram, atbalstītie komersanti, ir sasniedzami salīdzinoši vienkārši</w:t>
      </w:r>
      <w:r>
        <w:t xml:space="preserve">, </w:t>
      </w:r>
      <w:r w:rsidRPr="007B4A2E">
        <w:t xml:space="preserve">un to sasniegšanai ir veikti pasākumi jau pirms pieteikuma iesniegšanas </w:t>
      </w:r>
      <w:r>
        <w:t>projektu pieteikumu atlases gaitā. Lielāka vērība tiks pievērsta jaunradīto produktu un tehnoloģiju rādītāju sasniegšanai.</w:t>
      </w:r>
    </w:p>
    <w:p w14:paraId="245615E6" w14:textId="696A6495" w:rsidR="00872E34" w:rsidRDefault="00872E34" w:rsidP="00872E34">
      <w:pPr>
        <w:keepNext/>
      </w:pPr>
      <w:r>
        <w:t>P&amp;A un inovāciju projekti pēc to būtības ir saistīti ar ievērojamu rezultātu nenoteiktību. Tāpēc Kompetences centrs paredz pietiekoši ambiciozu atsevišķu projektu mērķu sasniegšanu, paredzot iespēju, ka ievērojams daudzums projektu P&amp;A rezultātā var konstatēt objektīvus šķēršļus tālākā produkta vai tehnoloģijas komercializācijā. Kompetences centra uzraudzības mērķu sasniegšanas stratēģija balstās sekojošos apsvērumos:</w:t>
      </w:r>
    </w:p>
    <w:p w14:paraId="1592DFAA" w14:textId="767F81A9" w:rsidR="00872E34" w:rsidRDefault="007C267A" w:rsidP="006F31C1">
      <w:pPr>
        <w:pStyle w:val="BulletsF"/>
        <w:numPr>
          <w:ilvl w:val="0"/>
          <w:numId w:val="18"/>
        </w:numPr>
        <w:spacing w:before="120"/>
      </w:pPr>
      <w:r>
        <w:rPr>
          <w:szCs w:val="22"/>
        </w:rPr>
        <w:t>P</w:t>
      </w:r>
      <w:r w:rsidR="0017629A" w:rsidRPr="007B4A2E">
        <w:rPr>
          <w:szCs w:val="22"/>
        </w:rPr>
        <w:t>&amp;A&amp;I projekti</w:t>
      </w:r>
      <w:r w:rsidR="0017629A">
        <w:rPr>
          <w:szCs w:val="22"/>
        </w:rPr>
        <w:t xml:space="preserve"> pēc savas būtības</w:t>
      </w:r>
      <w:r w:rsidR="0017629A" w:rsidRPr="007B4A2E">
        <w:rPr>
          <w:szCs w:val="22"/>
        </w:rPr>
        <w:t xml:space="preserve"> </w:t>
      </w:r>
      <w:r w:rsidR="0017629A">
        <w:rPr>
          <w:szCs w:val="22"/>
        </w:rPr>
        <w:t>ir pakļauti nenoteiktībai</w:t>
      </w:r>
      <w:r w:rsidR="0017629A" w:rsidRPr="007B4A2E">
        <w:rPr>
          <w:rStyle w:val="FootnoteReference"/>
          <w:szCs w:val="22"/>
        </w:rPr>
        <w:footnoteReference w:id="58"/>
      </w:r>
      <w:r w:rsidR="0017629A" w:rsidRPr="007B4A2E">
        <w:rPr>
          <w:szCs w:val="22"/>
        </w:rPr>
        <w:t>.  Nenoteiktība samazinās</w:t>
      </w:r>
      <w:r w:rsidR="0017629A">
        <w:rPr>
          <w:szCs w:val="22"/>
        </w:rPr>
        <w:t xml:space="preserve">, </w:t>
      </w:r>
      <w:r w:rsidR="0017629A" w:rsidRPr="007B4A2E">
        <w:rPr>
          <w:szCs w:val="22"/>
        </w:rPr>
        <w:t>projekta gaitā palielinoties izpratnei par pētāmo jautājumu, produkta funkcionalitāti, klientu vai lietotāju reakciju un vajadzībām u</w:t>
      </w:r>
      <w:r w:rsidR="0017629A">
        <w:rPr>
          <w:szCs w:val="22"/>
        </w:rPr>
        <w:t xml:space="preserve">. </w:t>
      </w:r>
      <w:r w:rsidR="0017629A" w:rsidRPr="007B4A2E">
        <w:rPr>
          <w:szCs w:val="22"/>
        </w:rPr>
        <w:t>tml. Nenoteiktība ierobežo projekta realizētāja iespējas ilgtermiņā plānot sīk</w:t>
      </w:r>
      <w:r w:rsidR="0017629A">
        <w:rPr>
          <w:szCs w:val="22"/>
        </w:rPr>
        <w:t xml:space="preserve">as īstenošanas </w:t>
      </w:r>
      <w:r w:rsidR="0017629A" w:rsidRPr="007B4A2E">
        <w:rPr>
          <w:szCs w:val="22"/>
        </w:rPr>
        <w:t>detaļ</w:t>
      </w:r>
      <w:r w:rsidR="0017629A">
        <w:rPr>
          <w:szCs w:val="22"/>
        </w:rPr>
        <w:t>as</w:t>
      </w:r>
      <w:r w:rsidR="00872E34">
        <w:t>;</w:t>
      </w:r>
    </w:p>
    <w:p w14:paraId="3E9B3EB2" w14:textId="37681F34" w:rsidR="00872E34" w:rsidRDefault="0017629A" w:rsidP="006F31C1">
      <w:pPr>
        <w:pStyle w:val="BulletsF"/>
        <w:numPr>
          <w:ilvl w:val="0"/>
          <w:numId w:val="18"/>
        </w:numPr>
        <w:spacing w:before="120"/>
      </w:pPr>
      <w:r>
        <w:lastRenderedPageBreak/>
        <w:t>Kompetences centrs veido pārvaldības modeli, kurš atbalsta regulārus pārskatus un veido atbalsta mehānismus vieglai projekta pētniecības plāna izmaiņu veikšanai savienojot Kompetences centra programmas prasības ar reālām inovāciju radīšanas procesa vajadzībām:</w:t>
      </w:r>
    </w:p>
    <w:p w14:paraId="64C10682" w14:textId="66DEAEAA" w:rsidR="00872E34" w:rsidRDefault="0017629A" w:rsidP="006F31C1">
      <w:pPr>
        <w:pStyle w:val="BulletsF"/>
        <w:numPr>
          <w:ilvl w:val="1"/>
          <w:numId w:val="16"/>
        </w:numPr>
        <w:spacing w:before="120"/>
      </w:pPr>
      <w:r>
        <w:rPr>
          <w:szCs w:val="22"/>
        </w:rPr>
        <w:t>Sadarbības partneriem ir pieejama a</w:t>
      </w:r>
      <w:r w:rsidRPr="007B4A2E">
        <w:rPr>
          <w:szCs w:val="22"/>
        </w:rPr>
        <w:t xml:space="preserve">tbalsta sistēma projektu izmaiņu procesam. KC pakalpojumi projektu veicējiem, kas sekmē nepieciešamo projekta izmaiņu veikšanu ar minimālu P&amp;A resursu patēriņu birokrātiskām, vērtību nepievienojošām darbībām. Tai skaitā </w:t>
      </w:r>
      <w:r>
        <w:rPr>
          <w:szCs w:val="22"/>
        </w:rPr>
        <w:t xml:space="preserve">paredzamā </w:t>
      </w:r>
      <w:r w:rsidRPr="007B4A2E">
        <w:rPr>
          <w:szCs w:val="22"/>
        </w:rPr>
        <w:t xml:space="preserve">atbalsta sistēma </w:t>
      </w:r>
      <w:r>
        <w:rPr>
          <w:szCs w:val="22"/>
        </w:rPr>
        <w:t xml:space="preserve">nodrošina ātru </w:t>
      </w:r>
      <w:r w:rsidRPr="007B4A2E">
        <w:rPr>
          <w:szCs w:val="22"/>
        </w:rPr>
        <w:t>izmaiņu saskaņošan</w:t>
      </w:r>
      <w:r>
        <w:rPr>
          <w:szCs w:val="22"/>
        </w:rPr>
        <w:t>u</w:t>
      </w:r>
      <w:r w:rsidRPr="007B4A2E">
        <w:rPr>
          <w:szCs w:val="22"/>
        </w:rPr>
        <w:t xml:space="preserve"> CFLA</w:t>
      </w:r>
      <w:r>
        <w:rPr>
          <w:szCs w:val="22"/>
        </w:rPr>
        <w:t xml:space="preserve">, </w:t>
      </w:r>
      <w:r w:rsidRPr="007B4A2E">
        <w:rPr>
          <w:szCs w:val="22"/>
        </w:rPr>
        <w:t xml:space="preserve">tikko </w:t>
      </w:r>
      <w:r>
        <w:rPr>
          <w:szCs w:val="22"/>
        </w:rPr>
        <w:t>rodas tāda nepieciešamība</w:t>
      </w:r>
      <w:r w:rsidR="00872E34" w:rsidRPr="005F48A8">
        <w:t>.</w:t>
      </w:r>
      <w:r w:rsidR="00872E34">
        <w:t xml:space="preserve"> </w:t>
      </w:r>
    </w:p>
    <w:p w14:paraId="5C238CE1" w14:textId="5F5EEC4B" w:rsidR="00872E34" w:rsidRDefault="0017629A" w:rsidP="006F31C1">
      <w:pPr>
        <w:pStyle w:val="BulletsF"/>
        <w:numPr>
          <w:ilvl w:val="1"/>
          <w:numId w:val="16"/>
        </w:numPr>
        <w:spacing w:before="120"/>
      </w:pPr>
      <w:r w:rsidRPr="00453F1F">
        <w:rPr>
          <w:szCs w:val="22"/>
        </w:rPr>
        <w:t>Iekšējo pārskatu regularitāte un jēga tiek vērtēta pāri to apjomam un detalizācijai. T.i. pārskatu sistēma nedrīkst radīt apgrūtinošas izmaksas, kur izmaksas pārsniedz šo pārskatu pievienoto vērtību KC un Sadarbības partnerim. Iekšējie Projekta pārskati tiek pieprasīti reizi ceturksnī katram projektam maksimums uz divām A4 formāta lapām, brīvā formā, kur pārskata uzdevums ir sniegt izpratni par to, ka projekta īstenotājs, pirmkārt, pats sev ir atbildējis uz zemāk minētajiem jautājumiem un, otrkārt, projekta īstenotājs ir sniedzis Kompetences centram izpratni par projekta attīstības gaitu. Galvenās šāda pārskata sadaļas</w:t>
      </w:r>
      <w:r w:rsidR="00872E34">
        <w:t>:</w:t>
      </w:r>
    </w:p>
    <w:p w14:paraId="5AE083E8" w14:textId="1A0D8925" w:rsidR="00872E34" w:rsidRDefault="0017629A" w:rsidP="006F31C1">
      <w:pPr>
        <w:pStyle w:val="BulletsF"/>
        <w:numPr>
          <w:ilvl w:val="2"/>
          <w:numId w:val="16"/>
        </w:numPr>
        <w:spacing w:before="120"/>
      </w:pPr>
      <w:r>
        <w:t>p</w:t>
      </w:r>
      <w:r w:rsidR="00872E34">
        <w:t>recizētas nāk</w:t>
      </w:r>
      <w:r>
        <w:t>amā</w:t>
      </w:r>
      <w:r w:rsidR="00872E34">
        <w:t xml:space="preserve"> perioda paredzamās aktivitātes un budžets;</w:t>
      </w:r>
    </w:p>
    <w:p w14:paraId="723131E5" w14:textId="54142EA4" w:rsidR="00872E34" w:rsidRDefault="0017629A" w:rsidP="006F31C1">
      <w:pPr>
        <w:pStyle w:val="BulletsF"/>
        <w:numPr>
          <w:ilvl w:val="2"/>
          <w:numId w:val="16"/>
        </w:numPr>
        <w:spacing w:before="120"/>
      </w:pPr>
      <w:r>
        <w:t>b</w:t>
      </w:r>
      <w:r w:rsidR="00872E34">
        <w:t>ūtiskākās mācības kopš iepriekšējās atskaites;</w:t>
      </w:r>
    </w:p>
    <w:p w14:paraId="64541D7E" w14:textId="416C94A6" w:rsidR="00872E34" w:rsidRDefault="0017629A" w:rsidP="006F31C1">
      <w:pPr>
        <w:pStyle w:val="BulletsF"/>
        <w:numPr>
          <w:ilvl w:val="2"/>
          <w:numId w:val="16"/>
        </w:numPr>
        <w:spacing w:before="120"/>
      </w:pPr>
      <w:r>
        <w:t>g</w:t>
      </w:r>
      <w:r w:rsidR="00872E34">
        <w:t>alvenie šķēršļi, problēmas un kādas ir gūtās mācības?</w:t>
      </w:r>
    </w:p>
    <w:p w14:paraId="09FC5BFE" w14:textId="0268FFD4" w:rsidR="00872E34" w:rsidRDefault="0017629A" w:rsidP="006F31C1">
      <w:pPr>
        <w:pStyle w:val="BulletsF"/>
        <w:numPr>
          <w:ilvl w:val="2"/>
          <w:numId w:val="16"/>
        </w:numPr>
        <w:spacing w:before="120"/>
      </w:pPr>
      <w:r>
        <w:t>v</w:t>
      </w:r>
      <w:r w:rsidR="00872E34">
        <w:t>ai projektā paredzamas tādas izmaiņas, kas rada nepieciešamību veikt korekcijas Kompetences centra pieteiktajā projekta dokumentācijā?</w:t>
      </w:r>
    </w:p>
    <w:p w14:paraId="3161E45C" w14:textId="3FEDBA92" w:rsidR="00872E34" w:rsidRDefault="00872E34" w:rsidP="006F31C1">
      <w:pPr>
        <w:pStyle w:val="BulletsF"/>
        <w:numPr>
          <w:ilvl w:val="1"/>
          <w:numId w:val="16"/>
        </w:numPr>
        <w:spacing w:before="120"/>
      </w:pPr>
      <w:r>
        <w:t>Kompetences centrs patur tiesības gadījumos, ja ceturkšņa pārskats liecina par iespējamiem trūkumiem projekta izpildes gaitā, pieprasīt papildu informāciju</w:t>
      </w:r>
      <w:r w:rsidR="0017629A">
        <w:t xml:space="preserve"> </w:t>
      </w:r>
      <w:r>
        <w:t xml:space="preserve">vai mainīt </w:t>
      </w:r>
      <w:r w:rsidR="0017629A">
        <w:t>(labot)</w:t>
      </w:r>
      <w:r>
        <w:t xml:space="preserve"> projekta finansēšanas apjomu un laiku;</w:t>
      </w:r>
    </w:p>
    <w:p w14:paraId="13826309" w14:textId="77777777" w:rsidR="00872E34" w:rsidRDefault="00872E34" w:rsidP="006F31C1">
      <w:pPr>
        <w:pStyle w:val="BulletsF"/>
        <w:numPr>
          <w:ilvl w:val="0"/>
          <w:numId w:val="18"/>
        </w:numPr>
        <w:spacing w:before="120"/>
      </w:pPr>
      <w:r>
        <w:t xml:space="preserve">Pārskatu regularitāte ļauj atteikties no projekta pieteicēja neproduktīviem minējumiem par garāku projektu tālāko gaitu, vienlaikus atbalstot pietiekoši ciešu pārraudzības mehānismu jautājumos, kuros ir iespējama skaidrība; </w:t>
      </w:r>
    </w:p>
    <w:p w14:paraId="7509F8FF" w14:textId="5D2ED9E7" w:rsidR="00872E34" w:rsidRDefault="00B80C57" w:rsidP="006F31C1">
      <w:pPr>
        <w:pStyle w:val="BulletsF"/>
        <w:numPr>
          <w:ilvl w:val="0"/>
          <w:numId w:val="18"/>
        </w:numPr>
        <w:spacing w:before="120"/>
      </w:pPr>
      <w:r>
        <w:t xml:space="preserve"> </w:t>
      </w:r>
      <w:r w:rsidR="00872E34">
        <w:t>“Bizness zina labāk”</w:t>
      </w:r>
      <w:r w:rsidR="00872E34">
        <w:rPr>
          <w:rStyle w:val="FootnoteReference"/>
        </w:rPr>
        <w:footnoteReference w:id="59"/>
      </w:r>
      <w:r w:rsidR="00872E34">
        <w:t xml:space="preserve"> tāpēc Kompetences centra ekspertiem ir ierobežotas iespējas novērtēt pilnu idejas komerciālo potenciālu. Šī iemesla dēļ Kompetences centrs pielieto </w:t>
      </w:r>
      <w:r w:rsidR="00872E34" w:rsidRPr="008F6F51">
        <w:rPr>
          <w:i/>
        </w:rPr>
        <w:t>vieglās pārvaldības</w:t>
      </w:r>
      <w:r w:rsidR="00872E34">
        <w:t xml:space="preserve"> principus (lean management), projektu atlasē būtisku uzsvaru liekot uz tiem apstākļiem, kas var atraisīt projektu ideju komerciālo potenciālu, proti:</w:t>
      </w:r>
    </w:p>
    <w:p w14:paraId="1AA2512A" w14:textId="77777777" w:rsidR="00872E34" w:rsidRDefault="00872E34" w:rsidP="006F31C1">
      <w:pPr>
        <w:pStyle w:val="BulletsF"/>
        <w:numPr>
          <w:ilvl w:val="1"/>
          <w:numId w:val="16"/>
        </w:numPr>
        <w:spacing w:before="120"/>
      </w:pPr>
      <w:r>
        <w:t>Pamatotas ambīcijas tiek atbalstītas. Apzinoties, ka reālajā pasaulē ievērojams skaits inovāciju projektu nesasniedz nospraustos mērķus, svarīgi ir atbalstīt ambīcijas, lai veiksmīgie projekti nodrošinātu kopējo KC mērķu sasniegšanu;</w:t>
      </w:r>
    </w:p>
    <w:p w14:paraId="60107BEB" w14:textId="54F16C4D" w:rsidR="00872E34" w:rsidRDefault="00872E34" w:rsidP="006F31C1">
      <w:pPr>
        <w:pStyle w:val="BulletsF"/>
        <w:numPr>
          <w:ilvl w:val="1"/>
          <w:numId w:val="16"/>
        </w:numPr>
        <w:spacing w:before="120"/>
      </w:pPr>
      <w:r>
        <w:t xml:space="preserve">Komandas un uzņēmuma finanšu, P&amp;A, cilvēkkapitāla kapacitāte un pieredze. Projekta apjoma atbilstība to realizējošam uzņēmumam. </w:t>
      </w:r>
      <w:r>
        <w:lastRenderedPageBreak/>
        <w:t>Neatbilstība starp ambīcijām un Sadarbības partnera kapacitāti tiek kontrolēta pieprasot uzņēmumiem precizētus nāk</w:t>
      </w:r>
      <w:r w:rsidR="00675A22">
        <w:t>amo</w:t>
      </w:r>
      <w:r>
        <w:t xml:space="preserve"> ceturkšņu darbības plānus, uzraugot lai projekts tiek veikts pakāpeniski;</w:t>
      </w:r>
    </w:p>
    <w:p w14:paraId="1FB8DABE" w14:textId="77777777" w:rsidR="00820575" w:rsidRDefault="00820575" w:rsidP="006F31C1">
      <w:pPr>
        <w:pStyle w:val="BulletsF"/>
        <w:numPr>
          <w:ilvl w:val="1"/>
          <w:numId w:val="16"/>
        </w:numPr>
        <w:spacing w:before="120"/>
      </w:pPr>
      <w:r>
        <w:rPr>
          <w:szCs w:val="22"/>
        </w:rPr>
        <w:t xml:space="preserve">Tiek vērtēta </w:t>
      </w:r>
      <w:r w:rsidRPr="007B4A2E">
        <w:rPr>
          <w:szCs w:val="22"/>
        </w:rPr>
        <w:t>Projekta vispārējā kvalitāte</w:t>
      </w:r>
      <w:r>
        <w:rPr>
          <w:szCs w:val="22"/>
        </w:rPr>
        <w:t>, veicot e</w:t>
      </w:r>
      <w:r w:rsidRPr="007B4A2E">
        <w:rPr>
          <w:szCs w:val="22"/>
        </w:rPr>
        <w:t>kspertiem redzamu tehnoloģisku neiespējamību vai pretrunu ar vispārzināmiem dabas un fizikas likumiem novēršanu</w:t>
      </w:r>
      <w:r>
        <w:t>;</w:t>
      </w:r>
    </w:p>
    <w:p w14:paraId="11AC688B" w14:textId="77777777" w:rsidR="00820575" w:rsidRDefault="00820575" w:rsidP="006F31C1">
      <w:pPr>
        <w:pStyle w:val="BulletsF"/>
        <w:numPr>
          <w:ilvl w:val="1"/>
          <w:numId w:val="16"/>
        </w:numPr>
        <w:spacing w:before="120"/>
      </w:pPr>
      <w:r>
        <w:rPr>
          <w:szCs w:val="22"/>
        </w:rPr>
        <w:t xml:space="preserve">Tiek vērtēts </w:t>
      </w:r>
      <w:r w:rsidRPr="007B4A2E">
        <w:rPr>
          <w:szCs w:val="22"/>
        </w:rPr>
        <w:t>Projekta izpildes plāns</w:t>
      </w:r>
      <w:r>
        <w:t>.</w:t>
      </w:r>
    </w:p>
    <w:p w14:paraId="6F01E224" w14:textId="7043B0A4" w:rsidR="00872E34" w:rsidRDefault="00872E34" w:rsidP="006F31C1">
      <w:pPr>
        <w:pStyle w:val="BulletsF"/>
        <w:numPr>
          <w:ilvl w:val="0"/>
          <w:numId w:val="18"/>
        </w:numPr>
        <w:spacing w:before="120"/>
      </w:pPr>
      <w:r>
        <w:t>Projektu risku vadība ir komplekss pasākums, kas aprakstīts atsevišķi sadaļā risku analīze. To pamata principi ir fokusēties uz lielākajām riska zonām, pielietojot katram projektam un pieteicējam piemērotus riska vadības pasākumus. T.i., piemēram, uzņēmumiem, kuru P&amp;A aktivitātes ir salīdzinoši mazākas attiecībā pret to rīcībā esošajiem finanšu resursiem, līdzfinansējuma trūkuma risks projektam ir salīdzinoši neliels, tāpēc tiem padziļināta analīze par finanšu jautājumiem netiek pielietota;</w:t>
      </w:r>
    </w:p>
    <w:p w14:paraId="364D7ED5" w14:textId="21B2785A" w:rsidR="00872E34" w:rsidRDefault="00872E34" w:rsidP="006F31C1">
      <w:pPr>
        <w:pStyle w:val="BulletsF"/>
        <w:numPr>
          <w:ilvl w:val="0"/>
          <w:numId w:val="18"/>
        </w:numPr>
        <w:spacing w:before="120"/>
      </w:pPr>
      <w:r>
        <w:t>Līgumiska atbildība paredz risinājumus problēmsituācijās. Līguma forma starp Kompetences centru un Sadarbības partneri paredz katra Sadarbības partnera atbildību par tā pārziņā esošajiem rādītājiem. Sadarbības partneriem ir pietie</w:t>
      </w:r>
      <w:r w:rsidR="00820575">
        <w:t>kama</w:t>
      </w:r>
      <w:r>
        <w:t xml:space="preserve"> rīcības brīvība projekta izpildes gaitā atbilstoši progresam koriģēt projekta gaitu izvirzīto rādītāju sasniegšanai. </w:t>
      </w:r>
    </w:p>
    <w:p w14:paraId="56077FAE" w14:textId="44806902" w:rsidR="00872E34" w:rsidRDefault="00872E34" w:rsidP="006F31C1">
      <w:pPr>
        <w:pStyle w:val="BulletsF"/>
        <w:numPr>
          <w:ilvl w:val="0"/>
          <w:numId w:val="18"/>
        </w:numPr>
        <w:spacing w:before="120"/>
      </w:pPr>
      <w:r>
        <w:t>Inovāciju konsultācijas. Kompetences centrs piesaista kompetentus un pieredzējušus konsultantus un nodrošina Sadarbības partneriem inovāciju un P&amp;A specifiskas konsultācijas jautājumos, kuros zināšanas ir specifiskas un Sadarbības partneriem nav ekonomiska pamatojuma veidot iekšējo šādu zināšanu kapacitāti. Konsultācijas ietver:</w:t>
      </w:r>
    </w:p>
    <w:p w14:paraId="78BA08EE" w14:textId="77777777" w:rsidR="00872E34" w:rsidRDefault="00872E34" w:rsidP="006F31C1">
      <w:pPr>
        <w:pStyle w:val="BulletsF"/>
        <w:numPr>
          <w:ilvl w:val="1"/>
          <w:numId w:val="16"/>
        </w:numPr>
        <w:spacing w:before="120"/>
      </w:pPr>
      <w:r>
        <w:t>P&amp;A izmaksu identificēšanai un noteikšanai un ar P&amp;A uzskaiti un valsts atbalstu saistītajos jautājumos;</w:t>
      </w:r>
    </w:p>
    <w:p w14:paraId="13F580AF" w14:textId="21A14FD5" w:rsidR="00872E34" w:rsidRDefault="00820575" w:rsidP="006F31C1">
      <w:pPr>
        <w:pStyle w:val="BulletsF"/>
        <w:numPr>
          <w:ilvl w:val="1"/>
          <w:numId w:val="16"/>
        </w:numPr>
        <w:spacing w:before="120"/>
      </w:pPr>
      <w:r>
        <w:t>v</w:t>
      </w:r>
      <w:r w:rsidR="00872E34">
        <w:t>ispārīgā valsts atbalsta regulējuma ievērošana;</w:t>
      </w:r>
    </w:p>
    <w:p w14:paraId="4C56748B" w14:textId="2175DBA8" w:rsidR="00872E34" w:rsidRDefault="00820575" w:rsidP="006F31C1">
      <w:pPr>
        <w:pStyle w:val="BulletsF"/>
        <w:numPr>
          <w:ilvl w:val="1"/>
          <w:numId w:val="16"/>
        </w:numPr>
        <w:spacing w:before="120"/>
      </w:pPr>
      <w:r>
        <w:t>i</w:t>
      </w:r>
      <w:r w:rsidR="00872E34">
        <w:t>epirkumu procedūru konsultācijām;</w:t>
      </w:r>
    </w:p>
    <w:p w14:paraId="2BC1D077" w14:textId="57617763" w:rsidR="00872E34" w:rsidRDefault="00820575" w:rsidP="006F31C1">
      <w:pPr>
        <w:pStyle w:val="BulletsF"/>
        <w:numPr>
          <w:ilvl w:val="1"/>
          <w:numId w:val="16"/>
        </w:numPr>
        <w:spacing w:before="120"/>
      </w:pPr>
      <w:r>
        <w:t>sadarbības organizēšanā ar Pētniecības un zināšanu izplatīšanas organizācijām</w:t>
      </w:r>
      <w:r w:rsidR="00872E34">
        <w:t>;</w:t>
      </w:r>
    </w:p>
    <w:p w14:paraId="5C3C6D99" w14:textId="77777777" w:rsidR="00E31F95" w:rsidRDefault="00820575" w:rsidP="006F31C1">
      <w:pPr>
        <w:pStyle w:val="BulletsF"/>
        <w:numPr>
          <w:ilvl w:val="1"/>
          <w:numId w:val="16"/>
        </w:numPr>
        <w:spacing w:before="120"/>
      </w:pPr>
      <w:r>
        <w:t>i</w:t>
      </w:r>
      <w:r w:rsidR="00872E34">
        <w:t>novāciju vadības konsultācijas.</w:t>
      </w:r>
    </w:p>
    <w:p w14:paraId="2095D922" w14:textId="7B2CDB4C" w:rsidR="00872E34" w:rsidRDefault="00872E34" w:rsidP="00E31F95">
      <w:pPr>
        <w:pStyle w:val="BulletsF"/>
        <w:numPr>
          <w:ilvl w:val="0"/>
          <w:numId w:val="0"/>
        </w:numPr>
        <w:spacing w:before="120"/>
      </w:pPr>
      <w:r w:rsidRPr="0024016F">
        <w:t xml:space="preserve">Papildus, </w:t>
      </w:r>
      <w:r>
        <w:t>Kompetences centra</w:t>
      </w:r>
      <w:r w:rsidRPr="0024016F">
        <w:t xml:space="preserve"> darbības ietvaros plānots sekmēt sadarbību starp uzņēmumiem</w:t>
      </w:r>
      <w:r w:rsidR="00E31F95">
        <w:t xml:space="preserve"> </w:t>
      </w:r>
      <w:r w:rsidRPr="0024016F">
        <w:t>visā piegādes/vērtības ķēdes garumā, lai nodrošinātu koordinētu rīcību izvirzīto mērķu sasniegšanai. Koordinētas rīcības viens no papildu ieguvumiem ir savstarpēja informācijas apmaiņa un tādu kopīgā labuma projektu meklējumi, kuros ieguldījumi ir izmantojami vairākkārt.</w:t>
      </w:r>
    </w:p>
    <w:p w14:paraId="2FB7B236" w14:textId="77777777" w:rsidR="00872E34" w:rsidRDefault="00872E34" w:rsidP="00872E34">
      <w:pPr>
        <w:keepNext/>
      </w:pPr>
      <w:r>
        <w:lastRenderedPageBreak/>
        <w:t>Galvenie instrumenti, lai panāktu ciešāku sadarbību starp zinātniskajām institūcijām un komersantiem, ir komunikācijas kanālu – tajā skaitā klātienes tikšanos kvalitātes uzlabošana – lai iegūtu ērtu un izmantojamu informāciju ne tikai par pieteiktajiem projektiem, bet arī citām P&amp;A aktivitātēm, kuras veic sadarbības partneri.</w:t>
      </w:r>
    </w:p>
    <w:p w14:paraId="0832837F" w14:textId="77777777" w:rsidR="00820575" w:rsidRPr="007B4A2E" w:rsidRDefault="00820575" w:rsidP="00820575">
      <w:r w:rsidRPr="007B4A2E">
        <w:t xml:space="preserve">Regulārā sadarbība (satikšanās un komunikācija) pētniecības projektu atlases padomē, ļauj nodrošināt labāku informācijas apmaiņu starp industrijas pārstāvjiem un pētniecības iestāžu pārstāvjiem </w:t>
      </w:r>
      <w:r>
        <w:t>nozares attīstības tendencēm, kas</w:t>
      </w:r>
      <w:r w:rsidRPr="007B4A2E">
        <w:t xml:space="preserve"> </w:t>
      </w:r>
      <w:r>
        <w:t>ir a</w:t>
      </w:r>
      <w:r w:rsidRPr="007B4A2E">
        <w:t>ktuāl</w:t>
      </w:r>
      <w:r>
        <w:t>as</w:t>
      </w:r>
      <w:r w:rsidRPr="007B4A2E">
        <w:t xml:space="preserve"> tirgū un </w:t>
      </w:r>
      <w:r>
        <w:t xml:space="preserve">kas </w:t>
      </w:r>
      <w:r w:rsidRPr="007B4A2E">
        <w:t>varētu tikt komerciāli izmantot</w:t>
      </w:r>
      <w:r>
        <w:t>a</w:t>
      </w:r>
      <w:r w:rsidRPr="007B4A2E">
        <w:t>s</w:t>
      </w:r>
      <w:r>
        <w:t xml:space="preserve">. Tādējādi </w:t>
      </w:r>
      <w:r w:rsidRPr="007B4A2E">
        <w:t>veidojas neformālās saites</w:t>
      </w:r>
      <w:r>
        <w:t xml:space="preserve"> turpmāku </w:t>
      </w:r>
      <w:r w:rsidRPr="007B4A2E">
        <w:t>pētniecības virzien</w:t>
      </w:r>
      <w:r>
        <w:t xml:space="preserve">u un komercializējamu ideju attīstīšanai nākotnē. </w:t>
      </w:r>
      <w:r w:rsidRPr="007B4A2E">
        <w:t xml:space="preserve">Līdz ar to, pat gadījumos, kad projekti netiek apstiprināti, </w:t>
      </w:r>
      <w:r>
        <w:t>tiek stimulētas</w:t>
      </w:r>
      <w:r w:rsidRPr="007B4A2E">
        <w:t xml:space="preserve"> veiksmīga</w:t>
      </w:r>
      <w:r>
        <w:t>s</w:t>
      </w:r>
      <w:r w:rsidRPr="007B4A2E">
        <w:t xml:space="preserve"> sadarbība</w:t>
      </w:r>
      <w:r>
        <w:t>s un tīklošanās aktivitātes</w:t>
      </w:r>
      <w:r w:rsidRPr="007B4A2E">
        <w:t xml:space="preserve"> starp industriju un zinātnisko institūciju pārstāvjiem projektu atlases padomes ietvaros, veicinot investīcijas globāli perspektīvos</w:t>
      </w:r>
      <w:r>
        <w:t xml:space="preserve"> vai starpnozaru sadarbības</w:t>
      </w:r>
      <w:r w:rsidRPr="007B4A2E">
        <w:t xml:space="preserve"> virzienos.</w:t>
      </w:r>
    </w:p>
    <w:p w14:paraId="70BA4DF5" w14:textId="14D56770" w:rsidR="00872E34" w:rsidRPr="008F6F51" w:rsidRDefault="00872E34" w:rsidP="00872E34">
      <w:pPr>
        <w:keepNext/>
      </w:pPr>
      <w:r>
        <w:t xml:space="preserve">Gatavojot atskaites Kompetences centra ietvaros paredzams dalīties ar industrijas un pētnieku kopīgi veiktajiem pētījumiem – to pētījumu tēmām vai arī galvenajām atziņām un jaunākajiem industrijas sasniegumiem ārpus </w:t>
      </w:r>
      <w:r w:rsidR="00820575">
        <w:t>Latvijas</w:t>
      </w:r>
      <w:r>
        <w:t>, jo pētnieki biežāk apmeklē nozares konferences un izzina par citu valstu sasniegumiem izpētes jomās</w:t>
      </w:r>
      <w:r w:rsidR="00820575">
        <w:t>,</w:t>
      </w:r>
      <w:r>
        <w:t xml:space="preserve"> pirms tie tiek komercializēti tirgos. </w:t>
      </w:r>
      <w:r w:rsidR="00820575">
        <w:t xml:space="preserve">Šo zināšanu iegūšana un akumulēšana ļaus uzturēt KC dalībnieku konkurētspēju, piemēram, nodrošinās saimnieciskās darbības veicējus ar informāciju </w:t>
      </w:r>
      <w:r w:rsidR="00820575" w:rsidRPr="007B4A2E">
        <w:t>precīzāku lēmumu</w:t>
      </w:r>
      <w:r w:rsidR="00820575">
        <w:t>s</w:t>
      </w:r>
      <w:r w:rsidR="00820575" w:rsidRPr="007B4A2E">
        <w:t xml:space="preserve"> par dažādu </w:t>
      </w:r>
      <w:r w:rsidR="00820575">
        <w:t xml:space="preserve">nozares un starpnozaru </w:t>
      </w:r>
      <w:r w:rsidR="00820575" w:rsidRPr="007B4A2E">
        <w:t xml:space="preserve">projektu turpmāko </w:t>
      </w:r>
      <w:r w:rsidR="00820575">
        <w:t>attīstības gaitu.</w:t>
      </w:r>
    </w:p>
    <w:p w14:paraId="745DBEBD" w14:textId="6CCA534E" w:rsidR="00872E34" w:rsidRPr="00B17BD9" w:rsidRDefault="00872E34" w:rsidP="00872E34">
      <w:pPr>
        <w:pStyle w:val="Heading2"/>
        <w:shd w:val="clear" w:color="auto" w:fill="auto"/>
        <w:spacing w:after="0"/>
        <w:ind w:left="576" w:hanging="576"/>
        <w:contextualSpacing w:val="0"/>
        <w:jc w:val="left"/>
      </w:pPr>
      <w:bookmarkStart w:id="60" w:name="_Toc450925116"/>
      <w:bookmarkStart w:id="61" w:name="_Toc119072231"/>
      <w:r w:rsidRPr="00B17BD9">
        <w:t xml:space="preserve">Kompetences centra ieguldījums Latvijas </w:t>
      </w:r>
      <w:r w:rsidR="00B83DA5">
        <w:t>Vi</w:t>
      </w:r>
      <w:r w:rsidRPr="00B17BD9">
        <w:t>edās specializācijas stratēģijas rādītāju mērķu vērtību sasniegšanā</w:t>
      </w:r>
      <w:bookmarkEnd w:id="60"/>
      <w:bookmarkEnd w:id="61"/>
    </w:p>
    <w:p w14:paraId="3CA4218B" w14:textId="204276C3" w:rsidR="00B83DA5" w:rsidRDefault="00B83DA5" w:rsidP="00B83DA5">
      <w:bookmarkStart w:id="62" w:name="_Hlk529784032"/>
      <w:r>
        <w:t>Kompetences centra ieguldījums Latvijas Viedās specializācijas stratēģijas rādītāju mērķu vērtību sasniegšanai līdz 202</w:t>
      </w:r>
      <w:r w:rsidR="004C45F5">
        <w:t>7</w:t>
      </w:r>
      <w:r>
        <w:t>. gadam paredz šādas aktivitātes:</w:t>
      </w:r>
    </w:p>
    <w:p w14:paraId="5DA15CB5" w14:textId="2A171496" w:rsidR="00B83DA5" w:rsidRPr="00EB0115" w:rsidRDefault="00B83DA5" w:rsidP="006F31C1">
      <w:pPr>
        <w:pStyle w:val="BulletsF"/>
        <w:numPr>
          <w:ilvl w:val="0"/>
          <w:numId w:val="32"/>
        </w:numPr>
        <w:spacing w:before="120"/>
        <w:rPr>
          <w:szCs w:val="22"/>
        </w:rPr>
      </w:pPr>
      <w:r>
        <w:rPr>
          <w:b/>
          <w:i/>
          <w:szCs w:val="22"/>
        </w:rPr>
        <w:t xml:space="preserve">Privātā sektora investīcijas pētniecībā un attīstībā ir </w:t>
      </w:r>
      <w:r w:rsidR="00CE5F75">
        <w:rPr>
          <w:b/>
          <w:i/>
          <w:szCs w:val="22"/>
        </w:rPr>
        <w:t>38</w:t>
      </w:r>
      <w:r>
        <w:rPr>
          <w:b/>
          <w:i/>
          <w:szCs w:val="22"/>
        </w:rPr>
        <w:t xml:space="preserve">% no kopējiem </w:t>
      </w:r>
      <w:r w:rsidR="00435616">
        <w:rPr>
          <w:b/>
          <w:i/>
          <w:szCs w:val="22"/>
        </w:rPr>
        <w:t xml:space="preserve">P&amp;A </w:t>
      </w:r>
      <w:r>
        <w:rPr>
          <w:b/>
          <w:i/>
          <w:szCs w:val="22"/>
        </w:rPr>
        <w:t>ieguldījumiem</w:t>
      </w:r>
      <w:r w:rsidR="00435616">
        <w:rPr>
          <w:b/>
          <w:i/>
          <w:szCs w:val="22"/>
        </w:rPr>
        <w:t xml:space="preserve"> valstī</w:t>
      </w:r>
      <w:r>
        <w:rPr>
          <w:b/>
          <w:i/>
          <w:szCs w:val="22"/>
        </w:rPr>
        <w:t>:</w:t>
      </w:r>
      <w:r>
        <w:rPr>
          <w:szCs w:val="22"/>
        </w:rPr>
        <w:t xml:space="preserve"> kvalitatīvu saimnieciskās darbības veicēju ieguldījumu</w:t>
      </w:r>
      <w:r w:rsidRPr="007B4A2E">
        <w:rPr>
          <w:szCs w:val="22"/>
        </w:rPr>
        <w:t xml:space="preserve"> pētniecībā un attīstībā</w:t>
      </w:r>
      <w:r>
        <w:rPr>
          <w:szCs w:val="22"/>
        </w:rPr>
        <w:t xml:space="preserve"> stimulēšanā</w:t>
      </w:r>
      <w:r w:rsidRPr="007B4A2E">
        <w:rPr>
          <w:szCs w:val="22"/>
        </w:rPr>
        <w:t xml:space="preserve">, </w:t>
      </w:r>
      <w:r>
        <w:rPr>
          <w:szCs w:val="22"/>
        </w:rPr>
        <w:t>lai iespējami ātrāk veiktu izstrādāto projektu, tehnoloģiju un projektu komercializēšanu, kad ir</w:t>
      </w:r>
      <w:r w:rsidRPr="007B4A2E">
        <w:rPr>
          <w:szCs w:val="22"/>
        </w:rPr>
        <w:t xml:space="preserve"> pabeigta vismaz viena pētniecības projekta īstenošana;</w:t>
      </w:r>
      <w:r>
        <w:rPr>
          <w:szCs w:val="22"/>
        </w:rPr>
        <w:t xml:space="preserve"> </w:t>
      </w:r>
      <w:r w:rsidRPr="007B4A2E">
        <w:rPr>
          <w:szCs w:val="22"/>
        </w:rPr>
        <w:t>Partneri veidos projektus, lai piesaistītu ārvalstu finansējums (no starptautiskām pētniecības programmām, no ārvalstu partneriem) pētījumiem uzņēmējdarbības sektorā</w:t>
      </w:r>
      <w:r>
        <w:rPr>
          <w:szCs w:val="22"/>
        </w:rPr>
        <w:t>.</w:t>
      </w:r>
    </w:p>
    <w:p w14:paraId="126E70FC" w14:textId="527D85AC" w:rsidR="00B83DA5" w:rsidRPr="00EB0115" w:rsidRDefault="00B83DA5" w:rsidP="006F31C1">
      <w:pPr>
        <w:pStyle w:val="BulletsF"/>
        <w:numPr>
          <w:ilvl w:val="0"/>
          <w:numId w:val="32"/>
        </w:numPr>
        <w:spacing w:before="120"/>
        <w:rPr>
          <w:szCs w:val="22"/>
        </w:rPr>
      </w:pPr>
      <w:r w:rsidRPr="00D67BCC">
        <w:rPr>
          <w:b/>
          <w:i/>
          <w:szCs w:val="22"/>
        </w:rPr>
        <w:t xml:space="preserve">Inovatīvo komersantu īpatsvars ir </w:t>
      </w:r>
      <w:r w:rsidR="005A4184">
        <w:rPr>
          <w:b/>
          <w:i/>
          <w:szCs w:val="22"/>
        </w:rPr>
        <w:t>5</w:t>
      </w:r>
      <w:r w:rsidRPr="00D67BCC">
        <w:rPr>
          <w:b/>
          <w:i/>
          <w:szCs w:val="22"/>
        </w:rPr>
        <w:t>0% no visiem komersantiem</w:t>
      </w:r>
      <w:r>
        <w:rPr>
          <w:szCs w:val="22"/>
        </w:rPr>
        <w:t xml:space="preserve">: KC </w:t>
      </w:r>
      <w:r w:rsidRPr="007B4A2E">
        <w:rPr>
          <w:szCs w:val="22"/>
        </w:rPr>
        <w:t>uzskaitīs komersantus, kas pēc pētniecības projekta pabeigšanas sekmīgi ieviesuši saimnieciskajā darbībā jaunradītos produktus vai tehnoloģijas;</w:t>
      </w:r>
      <w:r>
        <w:rPr>
          <w:szCs w:val="22"/>
        </w:rPr>
        <w:t xml:space="preserve"> tai skaitā tiks veikti pasākumi inovācijas stimulējošu zināšanu izplatīšanai un akumulācijas KC ietvaros.</w:t>
      </w:r>
    </w:p>
    <w:bookmarkEnd w:id="62"/>
    <w:p w14:paraId="434B9664" w14:textId="15072DD2" w:rsidR="00B83DA5" w:rsidRPr="003E7D7B" w:rsidRDefault="00B83DA5" w:rsidP="00B83DA5">
      <w:r w:rsidRPr="003E7D7B">
        <w:t xml:space="preserve">Kompetences centrā paredzēts nodrošināt privātā sektora ieguldījumu P&amp;A aktivitātēm vismaz </w:t>
      </w:r>
      <w:r w:rsidR="00F445FB">
        <w:t>2</w:t>
      </w:r>
      <w:r w:rsidRPr="003E7D7B">
        <w:t xml:space="preserve"> miljonu </w:t>
      </w:r>
      <w:r w:rsidRPr="003E7D7B">
        <w:rPr>
          <w:i/>
        </w:rPr>
        <w:t>euro</w:t>
      </w:r>
      <w:r w:rsidRPr="003E7D7B">
        <w:t xml:space="preserve"> apmērā līdz </w:t>
      </w:r>
      <w:r>
        <w:t>202</w:t>
      </w:r>
      <w:r w:rsidR="00C43ACD">
        <w:t>6</w:t>
      </w:r>
      <w:r>
        <w:t>. gada 3</w:t>
      </w:r>
      <w:r w:rsidR="00C43ACD">
        <w:t>0</w:t>
      </w:r>
      <w:r>
        <w:t>.</w:t>
      </w:r>
      <w:r w:rsidR="00C43ACD">
        <w:t>jūnijam</w:t>
      </w:r>
      <w:r>
        <w:t>.</w:t>
      </w:r>
    </w:p>
    <w:p w14:paraId="63849A93" w14:textId="77777777" w:rsidR="00872E34" w:rsidRPr="00374989" w:rsidRDefault="00872E34" w:rsidP="00872E34">
      <w:r w:rsidRPr="00374989">
        <w:t>Ieņēmumus no inovācijām Kompetences centra aktivitāte ietekmē daļēji, jo pārskata periodā būtiskus ieņēmumus no jauniem produktiem garantēt nevar. Atkarībā no ko</w:t>
      </w:r>
      <w:r>
        <w:t>n</w:t>
      </w:r>
      <w:r w:rsidRPr="00374989">
        <w:t>krētā produkta, industrijas un vērtību ķēžu struktūras atdeve no jauna produkta var būt atvirzīta 2-18 gadus. To apliecina gan starptautiskie pētījumi</w:t>
      </w:r>
      <w:r w:rsidRPr="00374989">
        <w:rPr>
          <w:vertAlign w:val="superscript"/>
        </w:rPr>
        <w:footnoteReference w:id="60"/>
      </w:r>
      <w:r w:rsidRPr="00374989">
        <w:t xml:space="preserve"> gan Sadarbības partneru sniegtā informācija.</w:t>
      </w:r>
    </w:p>
    <w:p w14:paraId="446C16B3" w14:textId="28C7BD40" w:rsidR="008B31D5" w:rsidRPr="00F7180F" w:rsidRDefault="00872E34" w:rsidP="008B31D5">
      <w:pPr>
        <w:spacing w:after="0"/>
        <w:rPr>
          <w:rFonts w:ascii="Segoe UI" w:eastAsia="Times New Roman" w:hAnsi="Segoe UI" w:cs="Times New Roman"/>
        </w:rPr>
      </w:pPr>
      <w:r w:rsidRPr="008F6F51">
        <w:lastRenderedPageBreak/>
        <w:t xml:space="preserve">Kompetences centrs sniegs savu ieguldījumu Latvijas </w:t>
      </w:r>
      <w:r w:rsidR="00B83DA5">
        <w:t>V</w:t>
      </w:r>
      <w:r w:rsidRPr="008F6F51">
        <w:t>iedās specializācijas stratēģijas mērķ</w:t>
      </w:r>
      <w:r w:rsidR="008B31D5">
        <w:t xml:space="preserve">im - </w:t>
      </w:r>
      <w:r w:rsidR="008B31D5" w:rsidRPr="00F7180F">
        <w:rPr>
          <w:rFonts w:ascii="Segoe UI" w:eastAsia="Times New Roman" w:hAnsi="Segoe UI" w:cs="Times New Roman"/>
        </w:rPr>
        <w:t>palielināt tautsaimniecības spēju veidot inovācijas sistēmu, kas veicina un atbalsta zināšanu intensīvu aktivitāšu, produktu un pakalpojumu īpatsvara palielināšanos tautsaimniecībā, nodrošināt zināšanu ietilpīgu aktivitāšu ilgtspēju.</w:t>
      </w:r>
    </w:p>
    <w:p w14:paraId="4188B63F" w14:textId="72FCBA19" w:rsidR="00B83DA5" w:rsidRPr="00A2318A" w:rsidRDefault="00872E34" w:rsidP="00B83DA5">
      <w:r w:rsidRPr="000D0A58">
        <w:t xml:space="preserve"> </w:t>
      </w:r>
      <w:bookmarkStart w:id="63" w:name="_Toc450350212"/>
      <w:bookmarkStart w:id="64" w:name="_Toc450925117"/>
      <w:r w:rsidR="00B83DA5">
        <w:t>Ar KC starpniecību nozares un citu līdzīgu nozaru komersantiem būs pieejami</w:t>
      </w:r>
      <w:r w:rsidR="00B83DA5" w:rsidRPr="007B4A2E">
        <w:t xml:space="preserve"> elastīgi instrumenti pētniecības darba veicēju piesaistei P&amp;A aktivitātēm.</w:t>
      </w:r>
      <w:r w:rsidR="00B83DA5">
        <w:t xml:space="preserve"> Savukārt</w:t>
      </w:r>
      <w:r w:rsidR="008B31D5">
        <w:t>,</w:t>
      </w:r>
      <w:r w:rsidR="00B83DA5">
        <w:t xml:space="preserve"> stimulēta</w:t>
      </w:r>
      <w:r w:rsidR="00B83DA5" w:rsidRPr="007B4A2E">
        <w:t xml:space="preserve"> sadarbība ar </w:t>
      </w:r>
      <w:r w:rsidR="00B83DA5">
        <w:t>pētniecības institūcijām un zināšanu izplatīšanas organizācijām,</w:t>
      </w:r>
      <w:r w:rsidR="00B83DA5" w:rsidRPr="007B4A2E">
        <w:t xml:space="preserve"> veicinās </w:t>
      </w:r>
      <w:r w:rsidR="00B83DA5">
        <w:t xml:space="preserve">nozares cilvēkresursu interesi par pētniecību, zinātniskajiem sasniegumiem un inovāciju ieviešanu. </w:t>
      </w:r>
      <w:r w:rsidR="00B83DA5" w:rsidRPr="007B4A2E">
        <w:t xml:space="preserve"> </w:t>
      </w:r>
    </w:p>
    <w:p w14:paraId="43F76F4F" w14:textId="77777777" w:rsidR="00872E34" w:rsidRPr="00FE4DAF" w:rsidRDefault="00872E34" w:rsidP="00872E34">
      <w:pPr>
        <w:pStyle w:val="Heading1"/>
        <w:pageBreakBefore w:val="0"/>
        <w:shd w:val="clear" w:color="auto" w:fill="auto"/>
        <w:spacing w:after="0"/>
        <w:ind w:left="432" w:hanging="432"/>
        <w:contextualSpacing w:val="0"/>
        <w:jc w:val="left"/>
      </w:pPr>
      <w:bookmarkStart w:id="65" w:name="_Toc119072232"/>
      <w:r w:rsidRPr="00FE4DAF">
        <w:t>Risku analīze</w:t>
      </w:r>
      <w:bookmarkEnd w:id="63"/>
      <w:bookmarkEnd w:id="64"/>
      <w:bookmarkEnd w:id="65"/>
    </w:p>
    <w:p w14:paraId="0675F8D4" w14:textId="77777777" w:rsidR="00872E34" w:rsidRDefault="00872E34" w:rsidP="00872E34">
      <w:r>
        <w:t>Šajā nodaļā tiek veikta Kompetences centra risku analīze un novērtēta to iestāšanās varbūtība un ietekme uz Kompetences dalībnieku projektu realizāciju un komercializāciju, kā arī ir piedāvāti risinājumu risku mazināšanai vai novēršanai. Kompetences centra ietvaros par riskiem tiek uzskatītas nenoteiktības, kā rezultātā iespējami negatīvi notikumi, kuru ietekmē tiek apdraudēta Kompetences centra izvirzīto mērķu un uzdevumu sasniegšana.</w:t>
      </w:r>
    </w:p>
    <w:p w14:paraId="76D7894C" w14:textId="77777777" w:rsidR="00872E34" w:rsidRDefault="00872E34" w:rsidP="00872E34">
      <w:r>
        <w:t>Riska vadības sistēmas mērķis ir minimizēt un uzraudzīt notikumu ar negatīvām sekām iestāšanās varbūtību, kā arī radīt sistēmu, kas mazina šādu negatīvu notikumu iestāšanās sekas.  Risku vadība ir Kompetences centra darbības sastāvdaļa. Riska vadība ir integrēta:</w:t>
      </w:r>
    </w:p>
    <w:p w14:paraId="45BB0FDC" w14:textId="467527C5" w:rsidR="00872E34" w:rsidRDefault="00E3605B" w:rsidP="006F31C1">
      <w:pPr>
        <w:pStyle w:val="ListParagraph"/>
        <w:numPr>
          <w:ilvl w:val="0"/>
          <w:numId w:val="19"/>
        </w:numPr>
        <w:spacing w:after="0"/>
      </w:pPr>
      <w:r>
        <w:t>v</w:t>
      </w:r>
      <w:r w:rsidR="00872E34">
        <w:t>isos Sadarbības partneru sadarbības līgumos ar Kompetences centru;</w:t>
      </w:r>
    </w:p>
    <w:p w14:paraId="345C5073" w14:textId="5AAE47CC" w:rsidR="00872E34" w:rsidRDefault="00E3605B" w:rsidP="006F31C1">
      <w:pPr>
        <w:pStyle w:val="ListParagraph"/>
        <w:numPr>
          <w:ilvl w:val="0"/>
          <w:numId w:val="19"/>
        </w:numPr>
        <w:spacing w:after="0"/>
      </w:pPr>
      <w:r>
        <w:t>v</w:t>
      </w:r>
      <w:r w:rsidR="00872E34">
        <w:t>ērtēšanas kritērijos;</w:t>
      </w:r>
    </w:p>
    <w:p w14:paraId="54872A56" w14:textId="72CE78F0" w:rsidR="00872E34" w:rsidRDefault="00E3605B" w:rsidP="006F31C1">
      <w:pPr>
        <w:pStyle w:val="ListParagraph"/>
        <w:numPr>
          <w:ilvl w:val="0"/>
          <w:numId w:val="19"/>
        </w:numPr>
        <w:spacing w:after="0"/>
      </w:pPr>
      <w:r>
        <w:t>p</w:t>
      </w:r>
      <w:r w:rsidR="00872E34">
        <w:t>rojektu atlases stratēģijā un metodikā;</w:t>
      </w:r>
    </w:p>
    <w:p w14:paraId="607007EC" w14:textId="18882A9C" w:rsidR="00872E34" w:rsidRDefault="00E3605B" w:rsidP="006F31C1">
      <w:pPr>
        <w:pStyle w:val="ListParagraph"/>
        <w:numPr>
          <w:ilvl w:val="0"/>
          <w:numId w:val="19"/>
        </w:numPr>
        <w:spacing w:after="0"/>
      </w:pPr>
      <w:r>
        <w:t>m</w:t>
      </w:r>
      <w:r w:rsidR="00872E34">
        <w:t>onitoringa sistēmā;</w:t>
      </w:r>
    </w:p>
    <w:p w14:paraId="44ECCB0A" w14:textId="0C3D1076" w:rsidR="00872E34" w:rsidRDefault="00E3605B" w:rsidP="006F31C1">
      <w:pPr>
        <w:pStyle w:val="ListParagraph"/>
        <w:numPr>
          <w:ilvl w:val="0"/>
          <w:numId w:val="19"/>
        </w:numPr>
        <w:spacing w:after="0"/>
      </w:pPr>
      <w:r>
        <w:t>i</w:t>
      </w:r>
      <w:r w:rsidR="00872E34">
        <w:t>kdienas vadības lēmumu pieņemšanā.</w:t>
      </w:r>
    </w:p>
    <w:p w14:paraId="4B362476" w14:textId="77777777" w:rsidR="00872E34" w:rsidRDefault="00872E34" w:rsidP="00872E34">
      <w:r>
        <w:t xml:space="preserve">Riski ir neizbēgama blakus parādība inovāciju projektiem, tāpēc riska novēršanas iespējas ir ierobežotas, jo būtisku risku ierobežojumu atsevišķu projektu līmenī var nodrošināt tikai pilnīgi atsakoties no inovāciju projektiem un ambīcijām. </w:t>
      </w:r>
    </w:p>
    <w:p w14:paraId="772196EF" w14:textId="77777777" w:rsidR="00872E34" w:rsidRDefault="00872E34" w:rsidP="00872E34">
      <w:r>
        <w:t>Riska vadības galvenā stratēģija ir novērst riskus Kompetences centra līmenī, t.i. radīt sistēmu, kas nodrošina, ka atsevišķu projektu riski tiek kontrolēti un vadīti tā, lai tiktu sasniegti Kompetences centra kopējie mērķi, neatkarīgi no atsevišķu projektu iespējamām neveiksmēm. Riska vadības sistēma līdzsvaro piepūli un izmaksas starp riska iespējamības mazināšanas pasākumiem, ko iespējams veikt atsakoties no ambicioziem projektiem vai ar palielinātām kontroles un monitoringa izmaksām, un seku vadību, uzņemoties risku, bet samazinot negatīvu notikumu ietekmes apjomu. Balstoties uz procesā gūtās pieredzes un monitoringa rezultātiem, riska vadības sistēma tiek patstāvīgi attīstīta ar mērķi vienlaikus mazināt gan risku vadības izmaksas, gan potenciālo risku iestāšanās seku iespaidu.</w:t>
      </w:r>
    </w:p>
    <w:p w14:paraId="5EA84762" w14:textId="6F019306" w:rsidR="00872E34" w:rsidRDefault="00872E34" w:rsidP="00872E34">
      <w:r>
        <w:t xml:space="preserve">Risku analīzē riski tiek vērtēti pēc to </w:t>
      </w:r>
      <w:r w:rsidRPr="00FE25B7">
        <w:rPr>
          <w:b/>
        </w:rPr>
        <w:t>ietekmes un iespējamības.</w:t>
      </w:r>
      <w:r>
        <w:rPr>
          <w:b/>
        </w:rPr>
        <w:t xml:space="preserve"> </w:t>
      </w:r>
      <w:r w:rsidRPr="002232E1">
        <w:t>Klasifikācijas sistēma</w:t>
      </w:r>
      <w:r>
        <w:rPr>
          <w:b/>
        </w:rPr>
        <w:t xml:space="preserve"> </w:t>
      </w:r>
      <w:r w:rsidRPr="002232E1">
        <w:t>ir izstrādāt</w:t>
      </w:r>
      <w:r>
        <w:t xml:space="preserve">a ņemot vērā Kompetences centra organizācijas specifiku, organizatorisko struktūru, funkcijas, ietekmējošo regulējumu un sasniedzamos mērķus. </w:t>
      </w:r>
    </w:p>
    <w:p w14:paraId="78C75E7A" w14:textId="58667E21" w:rsidR="00872E34" w:rsidRDefault="00872E34" w:rsidP="00872E34">
      <w:r w:rsidRPr="00371C2E">
        <w:rPr>
          <w:b/>
        </w:rPr>
        <w:t>Risku ietekme</w:t>
      </w:r>
      <w:r>
        <w:t xml:space="preserve"> tiek vērtēta</w:t>
      </w:r>
      <w:r w:rsidR="00E3605B">
        <w:t>,</w:t>
      </w:r>
      <w:r>
        <w:t xml:space="preserve"> vai, iestājoties konkrētam riskam, tiek ietekmēti </w:t>
      </w:r>
      <w:r w:rsidRPr="00751542">
        <w:rPr>
          <w:b/>
        </w:rPr>
        <w:t>visi Kompetences centra projekti</w:t>
      </w:r>
      <w:r w:rsidR="00E3605B">
        <w:t xml:space="preserve"> </w:t>
      </w:r>
      <w:r>
        <w:t xml:space="preserve">vai tikai </w:t>
      </w:r>
      <w:r w:rsidR="00E3605B">
        <w:t xml:space="preserve">viens </w:t>
      </w:r>
      <w:r>
        <w:t>konkrētais Kompetences centra projekts. Ņemot vērā, ka Kompetences centrā tiek realizēts ievērojams skaits projektu, kuri visi kopā nodrošina sasniedzamos rādītājus, tad riska ietekme tiek vērtēta atbilstoši:</w:t>
      </w:r>
    </w:p>
    <w:p w14:paraId="13807365" w14:textId="12764504" w:rsidR="00872E34" w:rsidRDefault="00872E34" w:rsidP="006F31C1">
      <w:pPr>
        <w:pStyle w:val="ListParagraph"/>
        <w:numPr>
          <w:ilvl w:val="0"/>
          <w:numId w:val="19"/>
        </w:numPr>
        <w:spacing w:after="0"/>
      </w:pPr>
      <w:r w:rsidRPr="00030972">
        <w:rPr>
          <w:b/>
        </w:rPr>
        <w:lastRenderedPageBreak/>
        <w:t>Augsta</w:t>
      </w:r>
      <w:r>
        <w:t xml:space="preserve"> - tiem riskiem, kuru iestāšanās gadījumā</w:t>
      </w:r>
      <w:r w:rsidR="00960B87">
        <w:t xml:space="preserve">, </w:t>
      </w:r>
      <w:r>
        <w:t>nelabvēlīgas sekas ir visam Kompetences centram</w:t>
      </w:r>
      <w:r w:rsidR="00960B87">
        <w:t xml:space="preserve">, </w:t>
      </w:r>
      <w:r>
        <w:t>un t</w:t>
      </w:r>
      <w:r w:rsidR="00960B87">
        <w:t>ie</w:t>
      </w:r>
      <w:r>
        <w:t xml:space="preserve"> būtiski apgrūtina visu pētniecības projektu realizāciju un Kompetences centra mērķu sasniegšanu. Pie augstas ietekmes riskiem pieskaitāmi arī riski, ka Kompetences centrs pats traucē projektu realizācijai. Šādi riski var apdraudēt visa Kompetences centra rezultātu sasniegšanu;</w:t>
      </w:r>
    </w:p>
    <w:p w14:paraId="33F05E5B" w14:textId="49E689DA" w:rsidR="00960B87" w:rsidRDefault="00960B87" w:rsidP="006F31C1">
      <w:pPr>
        <w:pStyle w:val="ListParagraph"/>
        <w:numPr>
          <w:ilvl w:val="0"/>
          <w:numId w:val="19"/>
        </w:numPr>
        <w:spacing w:after="0"/>
      </w:pPr>
      <w:r>
        <w:rPr>
          <w:b/>
        </w:rPr>
        <w:t xml:space="preserve">Vidēja </w:t>
      </w:r>
      <w:r>
        <w:t>– tiem riskiem, kuru iestāšanās gadījumā, nelabvēlīgas sekas ir tikai konkrētam projektam, bet bez atbilstošiem riska seku mazināšanas pasākumiem sekas var būtiski traucēt arī citu projektu realizāciju;</w:t>
      </w:r>
    </w:p>
    <w:p w14:paraId="41D7B3F2" w14:textId="2C4340F8" w:rsidR="00872E34" w:rsidRDefault="00872E34" w:rsidP="006F31C1">
      <w:pPr>
        <w:pStyle w:val="ListParagraph"/>
        <w:numPr>
          <w:ilvl w:val="0"/>
          <w:numId w:val="19"/>
        </w:numPr>
        <w:spacing w:after="0"/>
      </w:pPr>
      <w:r w:rsidRPr="00030972">
        <w:rPr>
          <w:b/>
        </w:rPr>
        <w:t>Zema</w:t>
      </w:r>
      <w:r>
        <w:t xml:space="preserve"> – tiem riskiem, kuru iestāšanās gadījumā</w:t>
      </w:r>
      <w:r w:rsidR="00960B87">
        <w:t>,</w:t>
      </w:r>
      <w:r>
        <w:t xml:space="preserve"> nelabvēlīgas sekas ir tikai konkrētam projektam, kas nozīmē, ka pārējie projekti bez traucējumiem turpina savu realizāciju</w:t>
      </w:r>
      <w:r w:rsidR="00960B87">
        <w:t>.</w:t>
      </w:r>
    </w:p>
    <w:p w14:paraId="1EC28D1D" w14:textId="77777777" w:rsidR="00960B87" w:rsidRDefault="00960B87" w:rsidP="00960B87">
      <w:r w:rsidRPr="007B4A2E">
        <w:t>Pamatojums šādam vērtējumam ir tas, ka Kompetences centra projekti no sasniedzamo rezultātu viedokļa ir aizstājami.</w:t>
      </w:r>
      <w:r>
        <w:t xml:space="preserve"> Jāņem vērā, ka projektu ambīcijas bieži vien korelē ar tiem atbilstīgā riska (nenoteiktības) apjomu – jo sarežģītāks ir projekts un jo vairāk tajā ir izaicinājumu un nenoteiktību izraisošu potenciālo faktoru, jo riskantāks tas ir. Bet šādu projektu īstenošana bieži vien var nest ievērojumu ieguldījumu KC un tā dalībnieku attīstībai. </w:t>
      </w:r>
    </w:p>
    <w:p w14:paraId="0B3D2316" w14:textId="77777777" w:rsidR="00872E34" w:rsidRDefault="00872E34" w:rsidP="00872E34">
      <w:r>
        <w:t>Pie augstas ietekmes riskiem pieskaitāmi visi tie riski, kas saistīti ar neatbilstoši izmantotu finansējumu, kā rezultātā var tikt apturēts vai iesaldēts Kompetences centra finansējums.</w:t>
      </w:r>
    </w:p>
    <w:p w14:paraId="61D931E9" w14:textId="77777777" w:rsidR="00960B87" w:rsidRDefault="00960B87" w:rsidP="00872E34">
      <w:r>
        <w:t xml:space="preserve">Pie vidējas ietekmes riskiem arī pieskaitāmi riski, kuru rezultātā Kompetences centrā tiek ietekmēts atsevišķu projektu finansējums, situācijās, kad šis trūkstošais finansējums jāsedz citiem sadarbības partneriem, jo Sadarbības partneris, kura projektam ir piemērots samazinājums. Piemērs tādam riskam ir situācija, kurā partneris ir jau saņēmis finansējumu, tā projektam tiek pielietota finanšu korekcija, bet tas nevēlas vai nespēj atgriezt samazinājuma apjomā esošo finansējumu Kompetences centrā. </w:t>
      </w:r>
    </w:p>
    <w:p w14:paraId="2740E7B5" w14:textId="77777777" w:rsidR="00960B87" w:rsidRDefault="00960B87" w:rsidP="00872E34">
      <w:r>
        <w:t xml:space="preserve">Šāda riska iestāšanās mazināšanas stratēģija, piemēram, ir pastiprināta starprezultātu un galarezultātu izvērtēšana kompetences centrā, lai netiek pieprasīts un izmaksāts finansējums potenciāli zemas kvalitātes pētījumiem. </w:t>
      </w:r>
    </w:p>
    <w:p w14:paraId="610D7D5F" w14:textId="617D8414" w:rsidR="00872E34" w:rsidRDefault="00872E34" w:rsidP="00872E34">
      <w:r>
        <w:t>Pie vidējas ietekmes riskiem arī pieskaitāmi riski, kuri saistīti ar juridisko Kompetences centra struktūru</w:t>
      </w:r>
      <w:r w:rsidR="00960B87">
        <w:t xml:space="preserve">, </w:t>
      </w:r>
      <w:r>
        <w:t>t.i.</w:t>
      </w:r>
      <w:r w:rsidR="00960B87">
        <w:t>,</w:t>
      </w:r>
      <w:r>
        <w:t xml:space="preserve"> Latvijas komerclikums nerada pietiekamu bāzi atsevišķu SIA dalībnieku izslēgšanai no dibinātāju saraksta.</w:t>
      </w:r>
    </w:p>
    <w:p w14:paraId="5D8F8066" w14:textId="77777777" w:rsidR="00872E34" w:rsidRPr="00371C2E" w:rsidRDefault="00872E34" w:rsidP="00872E34">
      <w:pPr>
        <w:rPr>
          <w:b/>
        </w:rPr>
      </w:pPr>
      <w:r w:rsidRPr="0083713A">
        <w:t xml:space="preserve">Risku analīzē tiek analizēti tikai </w:t>
      </w:r>
      <w:r>
        <w:t xml:space="preserve">tie </w:t>
      </w:r>
      <w:r w:rsidRPr="0083713A">
        <w:t>riski</w:t>
      </w:r>
      <w:r>
        <w:t>,</w:t>
      </w:r>
      <w:r w:rsidRPr="0083713A">
        <w:t xml:space="preserve"> kuru iestāšanās ir ticama Kompetences centra darbības laik</w:t>
      </w:r>
      <w:r>
        <w:t>ā un to iestāšanās sekas un iestāšanās varbūtība ir pietiekoši liela, lai veiktu šo risku iestāšanās kontroles pasākumus. Risku iestāšanās varbūtība tiek klasificēta no šo risku iestāšanās kontroles iespēju viedokļa, apzinoties, ka iesaistītās puses risku iestāšanās iespēju vēlas mazināt.</w:t>
      </w:r>
      <w:r w:rsidRPr="0083713A">
        <w:rPr>
          <w:b/>
        </w:rPr>
        <w:t xml:space="preserve"> </w:t>
      </w:r>
      <w:r w:rsidRPr="00371C2E">
        <w:rPr>
          <w:b/>
        </w:rPr>
        <w:t>Risku iestāšanās varbūtība tiek vērtēta sekojoši:</w:t>
      </w:r>
    </w:p>
    <w:p w14:paraId="653DAF8E" w14:textId="77777777" w:rsidR="00872E34" w:rsidRDefault="00872E34" w:rsidP="006F31C1">
      <w:pPr>
        <w:pStyle w:val="ListParagraph"/>
        <w:numPr>
          <w:ilvl w:val="0"/>
          <w:numId w:val="19"/>
        </w:numPr>
        <w:spacing w:after="0"/>
      </w:pPr>
      <w:r w:rsidRPr="002A55FD">
        <w:rPr>
          <w:b/>
        </w:rPr>
        <w:t>Zema</w:t>
      </w:r>
      <w:r>
        <w:t xml:space="preserve"> – negatīva notikuma iestāšanās varbūtību, iespējams, </w:t>
      </w:r>
      <w:r w:rsidRPr="00B356E6">
        <w:rPr>
          <w:b/>
        </w:rPr>
        <w:t>efektīvi</w:t>
      </w:r>
      <w:r>
        <w:t xml:space="preserve"> kontrolēt no Kompetences centra puses;</w:t>
      </w:r>
    </w:p>
    <w:p w14:paraId="0A84C703" w14:textId="77777777" w:rsidR="00872E34" w:rsidRDefault="00872E34" w:rsidP="006F31C1">
      <w:pPr>
        <w:pStyle w:val="ListParagraph"/>
        <w:numPr>
          <w:ilvl w:val="0"/>
          <w:numId w:val="19"/>
        </w:numPr>
        <w:spacing w:after="0"/>
      </w:pPr>
      <w:r w:rsidRPr="002A55FD">
        <w:rPr>
          <w:b/>
        </w:rPr>
        <w:t>Vidēja</w:t>
      </w:r>
      <w:r>
        <w:t xml:space="preserve"> - negatīvo notikumu varbūtību, iespējams, </w:t>
      </w:r>
      <w:r w:rsidRPr="00B356E6">
        <w:rPr>
          <w:b/>
        </w:rPr>
        <w:t>daļēji</w:t>
      </w:r>
      <w:r>
        <w:t xml:space="preserve"> kontrolēt no Kompetences centra puses, tomēr pilnībā iespējams kontrolēt no Sadarbības partnera puses;</w:t>
      </w:r>
    </w:p>
    <w:p w14:paraId="22D36B33" w14:textId="77777777" w:rsidR="00872E34" w:rsidRDefault="00872E34" w:rsidP="006F31C1">
      <w:pPr>
        <w:pStyle w:val="ListParagraph"/>
        <w:numPr>
          <w:ilvl w:val="0"/>
          <w:numId w:val="19"/>
        </w:numPr>
        <w:spacing w:after="0"/>
      </w:pPr>
      <w:r w:rsidRPr="002A55FD">
        <w:rPr>
          <w:b/>
        </w:rPr>
        <w:t>Augsta</w:t>
      </w:r>
      <w:r>
        <w:t xml:space="preserve"> – negatīvo notikumu varbūtība nav efektīvi kontrolējama ne no Kompetences centra, ne sadarbības partnera puses. T.i. nenoteiktība, kas nosaka negatīva notikuma iestāšanās varbūtību, ir ārēja attiecībā pret Sadarbības partneriem un Kompetences centru.</w:t>
      </w:r>
    </w:p>
    <w:p w14:paraId="23C44458" w14:textId="77777777" w:rsidR="00872E34" w:rsidRPr="00E54D60" w:rsidRDefault="00872E34" w:rsidP="00872E34">
      <w:pPr>
        <w:pStyle w:val="Heading2"/>
        <w:spacing w:before="480" w:after="120"/>
        <w:rPr>
          <w:rFonts w:eastAsiaTheme="minorHAnsi"/>
        </w:rPr>
      </w:pPr>
      <w:bookmarkStart w:id="66" w:name="_Toc428218247"/>
      <w:bookmarkStart w:id="67" w:name="_Toc441648451"/>
      <w:bookmarkStart w:id="68" w:name="_Toc450850156"/>
      <w:bookmarkStart w:id="69" w:name="_Toc450888008"/>
      <w:bookmarkStart w:id="70" w:name="_Toc450925118"/>
      <w:bookmarkStart w:id="71" w:name="_Toc119072233"/>
      <w:bookmarkStart w:id="72" w:name="_Toc450350213"/>
      <w:r w:rsidRPr="00E54D60">
        <w:lastRenderedPageBreak/>
        <w:t>Projekta risku izvērtējums</w:t>
      </w:r>
      <w:bookmarkEnd w:id="66"/>
      <w:bookmarkEnd w:id="67"/>
      <w:bookmarkEnd w:id="68"/>
      <w:bookmarkEnd w:id="69"/>
      <w:bookmarkEnd w:id="70"/>
      <w:bookmarkEnd w:id="71"/>
    </w:p>
    <w:tbl>
      <w:tblPr>
        <w:tblStyle w:val="GridTable1Light-Accent110"/>
        <w:tblW w:w="9445" w:type="dxa"/>
        <w:tblLayout w:type="fixed"/>
        <w:tblLook w:val="04A0" w:firstRow="1" w:lastRow="0" w:firstColumn="1" w:lastColumn="0" w:noHBand="0" w:noVBand="1"/>
      </w:tblPr>
      <w:tblGrid>
        <w:gridCol w:w="895"/>
        <w:gridCol w:w="1170"/>
        <w:gridCol w:w="1440"/>
        <w:gridCol w:w="540"/>
        <w:gridCol w:w="900"/>
        <w:gridCol w:w="4500"/>
      </w:tblGrid>
      <w:tr w:rsidR="00872E34" w:rsidRPr="00E54D60" w14:paraId="3957E82E" w14:textId="77777777" w:rsidTr="002319D2">
        <w:trPr>
          <w:cnfStyle w:val="100000000000" w:firstRow="1" w:lastRow="0" w:firstColumn="0" w:lastColumn="0" w:oddVBand="0" w:evenVBand="0" w:oddHBand="0" w:evenHBand="0" w:firstRowFirstColumn="0" w:firstRowLastColumn="0" w:lastRowFirstColumn="0" w:lastRowLastColumn="0"/>
          <w:cantSplit/>
          <w:trHeight w:val="1630"/>
          <w:tblHeader/>
        </w:trPr>
        <w:tc>
          <w:tcPr>
            <w:cnfStyle w:val="001000000000" w:firstRow="0" w:lastRow="0" w:firstColumn="1" w:lastColumn="0" w:oddVBand="0" w:evenVBand="0" w:oddHBand="0" w:evenHBand="0" w:firstRowFirstColumn="0" w:firstRowLastColumn="0" w:lastRowFirstColumn="0" w:lastRowLastColumn="0"/>
            <w:tcW w:w="895" w:type="dxa"/>
          </w:tcPr>
          <w:p w14:paraId="3B7E9C04" w14:textId="77777777" w:rsidR="00872E34" w:rsidRPr="00E54D60" w:rsidRDefault="00872E34" w:rsidP="00714045">
            <w:pPr>
              <w:keepNext/>
            </w:pPr>
            <w:r w:rsidRPr="00E54D60">
              <w:t>N.p.k.</w:t>
            </w:r>
          </w:p>
        </w:tc>
        <w:tc>
          <w:tcPr>
            <w:tcW w:w="1170" w:type="dxa"/>
          </w:tcPr>
          <w:p w14:paraId="03341A33" w14:textId="77777777" w:rsidR="00872E34" w:rsidRPr="00E54D60" w:rsidRDefault="00872E34" w:rsidP="00714045">
            <w:pPr>
              <w:keepNext/>
              <w:cnfStyle w:val="100000000000" w:firstRow="1" w:lastRow="0" w:firstColumn="0" w:lastColumn="0" w:oddVBand="0" w:evenVBand="0" w:oddHBand="0" w:evenHBand="0" w:firstRowFirstColumn="0" w:firstRowLastColumn="0" w:lastRowFirstColumn="0" w:lastRowLastColumn="0"/>
            </w:pPr>
            <w:r w:rsidRPr="00E54D60">
              <w:t>Risks</w:t>
            </w:r>
          </w:p>
        </w:tc>
        <w:tc>
          <w:tcPr>
            <w:tcW w:w="1440" w:type="dxa"/>
          </w:tcPr>
          <w:p w14:paraId="00DDDAB7" w14:textId="77777777" w:rsidR="00872E34" w:rsidRPr="00E54D60" w:rsidRDefault="00872E34" w:rsidP="00714045">
            <w:pPr>
              <w:keepNext/>
              <w:cnfStyle w:val="100000000000" w:firstRow="1" w:lastRow="0" w:firstColumn="0" w:lastColumn="0" w:oddVBand="0" w:evenVBand="0" w:oddHBand="0" w:evenHBand="0" w:firstRowFirstColumn="0" w:firstRowLastColumn="0" w:lastRowFirstColumn="0" w:lastRowLastColumn="0"/>
            </w:pPr>
            <w:r>
              <w:t>Risku</w:t>
            </w:r>
            <w:r w:rsidRPr="00E54D60">
              <w:t xml:space="preserve"> apraksts</w:t>
            </w:r>
          </w:p>
        </w:tc>
        <w:tc>
          <w:tcPr>
            <w:tcW w:w="540" w:type="dxa"/>
            <w:textDirection w:val="btLr"/>
            <w:vAlign w:val="center"/>
          </w:tcPr>
          <w:p w14:paraId="0D303947" w14:textId="379B19E8" w:rsidR="00872E34" w:rsidRPr="00E54D60" w:rsidRDefault="003D4FD3" w:rsidP="002319D2">
            <w:pPr>
              <w:keepNext/>
              <w:jc w:val="center"/>
              <w:cnfStyle w:val="100000000000" w:firstRow="1" w:lastRow="0" w:firstColumn="0" w:lastColumn="0" w:oddVBand="0" w:evenVBand="0" w:oddHBand="0" w:evenHBand="0" w:firstRowFirstColumn="0" w:firstRowLastColumn="0" w:lastRowFirstColumn="0" w:lastRowLastColumn="0"/>
            </w:pPr>
            <w:r>
              <w:t>Riska ietekme</w:t>
            </w:r>
          </w:p>
        </w:tc>
        <w:tc>
          <w:tcPr>
            <w:tcW w:w="900" w:type="dxa"/>
            <w:textDirection w:val="btLr"/>
            <w:vAlign w:val="center"/>
          </w:tcPr>
          <w:p w14:paraId="0E1211AB" w14:textId="77777777" w:rsidR="00872E34" w:rsidRPr="00E54D60" w:rsidRDefault="00872E34" w:rsidP="002319D2">
            <w:pPr>
              <w:keepNext/>
              <w:jc w:val="center"/>
              <w:cnfStyle w:val="100000000000" w:firstRow="1" w:lastRow="0" w:firstColumn="0" w:lastColumn="0" w:oddVBand="0" w:evenVBand="0" w:oddHBand="0" w:evenHBand="0" w:firstRowFirstColumn="0" w:firstRowLastColumn="0" w:lastRowFirstColumn="0" w:lastRowLastColumn="0"/>
            </w:pPr>
            <w:r>
              <w:t>Iestāšanas varbūtība</w:t>
            </w:r>
          </w:p>
        </w:tc>
        <w:tc>
          <w:tcPr>
            <w:tcW w:w="4500" w:type="dxa"/>
          </w:tcPr>
          <w:p w14:paraId="663C7B6D" w14:textId="77777777" w:rsidR="00872E34" w:rsidRPr="00E54D60" w:rsidRDefault="00872E34" w:rsidP="00714045">
            <w:pPr>
              <w:keepNext/>
              <w:cnfStyle w:val="100000000000" w:firstRow="1" w:lastRow="0" w:firstColumn="0" w:lastColumn="0" w:oddVBand="0" w:evenVBand="0" w:oddHBand="0" w:evenHBand="0" w:firstRowFirstColumn="0" w:firstRowLastColumn="0" w:lastRowFirstColumn="0" w:lastRowLastColumn="0"/>
            </w:pPr>
            <w:r w:rsidRPr="00E54D60">
              <w:t>Riska novēršanas/ mazināšanas pasākumi</w:t>
            </w:r>
          </w:p>
        </w:tc>
      </w:tr>
      <w:tr w:rsidR="00872E34" w:rsidRPr="00E54D60" w14:paraId="2E7F1D90" w14:textId="77777777" w:rsidTr="002319D2">
        <w:trPr>
          <w:cantSplit/>
          <w:trHeight w:val="1134"/>
        </w:trPr>
        <w:tc>
          <w:tcPr>
            <w:cnfStyle w:val="001000000000" w:firstRow="0" w:lastRow="0" w:firstColumn="1" w:lastColumn="0" w:oddVBand="0" w:evenVBand="0" w:oddHBand="0" w:evenHBand="0" w:firstRowFirstColumn="0" w:firstRowLastColumn="0" w:lastRowFirstColumn="0" w:lastRowLastColumn="0"/>
            <w:tcW w:w="895" w:type="dxa"/>
          </w:tcPr>
          <w:p w14:paraId="7C72EF8B" w14:textId="77777777" w:rsidR="00872E34" w:rsidRPr="00E54D60" w:rsidRDefault="00872E34" w:rsidP="00714045">
            <w:r w:rsidRPr="00E54D60">
              <w:t>1.</w:t>
            </w:r>
          </w:p>
        </w:tc>
        <w:tc>
          <w:tcPr>
            <w:tcW w:w="1170" w:type="dxa"/>
          </w:tcPr>
          <w:p w14:paraId="605CA899" w14:textId="77777777" w:rsidR="00872E34" w:rsidRPr="00E54D60" w:rsidRDefault="00872E34" w:rsidP="00714045">
            <w:pPr>
              <w:cnfStyle w:val="000000000000" w:firstRow="0" w:lastRow="0" w:firstColumn="0" w:lastColumn="0" w:oddVBand="0" w:evenVBand="0" w:oddHBand="0" w:evenHBand="0" w:firstRowFirstColumn="0" w:firstRowLastColumn="0" w:lastRowFirstColumn="0" w:lastRowLastColumn="0"/>
            </w:pPr>
            <w:r w:rsidRPr="00E54D60">
              <w:t>Finanšu</w:t>
            </w:r>
          </w:p>
        </w:tc>
        <w:tc>
          <w:tcPr>
            <w:tcW w:w="1440" w:type="dxa"/>
          </w:tcPr>
          <w:p w14:paraId="5DBCCE39" w14:textId="77777777" w:rsidR="00872E34" w:rsidRPr="00E54D60" w:rsidRDefault="00872E34" w:rsidP="00714045">
            <w:pPr>
              <w:cnfStyle w:val="000000000000" w:firstRow="0" w:lastRow="0" w:firstColumn="0" w:lastColumn="0" w:oddVBand="0" w:evenVBand="0" w:oddHBand="0" w:evenHBand="0" w:firstRowFirstColumn="0" w:firstRowLastColumn="0" w:lastRowFirstColumn="0" w:lastRowLastColumn="0"/>
            </w:pPr>
            <w:r w:rsidRPr="00E54D60">
              <w:t>Priekšfinansējuma trūkums projekta īstenošanas gaitā</w:t>
            </w:r>
          </w:p>
        </w:tc>
        <w:tc>
          <w:tcPr>
            <w:tcW w:w="540" w:type="dxa"/>
            <w:textDirection w:val="btLr"/>
            <w:vAlign w:val="center"/>
          </w:tcPr>
          <w:p w14:paraId="2F4035FA" w14:textId="77777777" w:rsidR="00872E34" w:rsidRPr="00E54D60" w:rsidRDefault="00872E34" w:rsidP="002319D2">
            <w:pPr>
              <w:jc w:val="center"/>
              <w:cnfStyle w:val="000000000000" w:firstRow="0" w:lastRow="0" w:firstColumn="0" w:lastColumn="0" w:oddVBand="0" w:evenVBand="0" w:oddHBand="0" w:evenHBand="0" w:firstRowFirstColumn="0" w:firstRowLastColumn="0" w:lastRowFirstColumn="0" w:lastRowLastColumn="0"/>
            </w:pPr>
            <w:r>
              <w:t>Zema</w:t>
            </w:r>
          </w:p>
        </w:tc>
        <w:tc>
          <w:tcPr>
            <w:tcW w:w="900" w:type="dxa"/>
            <w:textDirection w:val="btLr"/>
            <w:vAlign w:val="center"/>
          </w:tcPr>
          <w:p w14:paraId="4D63866B" w14:textId="77777777" w:rsidR="00872E34" w:rsidRPr="00E54D60" w:rsidRDefault="00872E34" w:rsidP="002319D2">
            <w:pPr>
              <w:jc w:val="center"/>
              <w:cnfStyle w:val="000000000000" w:firstRow="0" w:lastRow="0" w:firstColumn="0" w:lastColumn="0" w:oddVBand="0" w:evenVBand="0" w:oddHBand="0" w:evenHBand="0" w:firstRowFirstColumn="0" w:firstRowLastColumn="0" w:lastRowFirstColumn="0" w:lastRowLastColumn="0"/>
            </w:pPr>
            <w:r w:rsidRPr="00E54D60">
              <w:t>Vidēja</w:t>
            </w:r>
          </w:p>
        </w:tc>
        <w:tc>
          <w:tcPr>
            <w:tcW w:w="4500" w:type="dxa"/>
          </w:tcPr>
          <w:p w14:paraId="7E28A576" w14:textId="77777777" w:rsidR="00872E34" w:rsidRDefault="00872E34" w:rsidP="00714045">
            <w:pPr>
              <w:cnfStyle w:val="000000000000" w:firstRow="0" w:lastRow="0" w:firstColumn="0" w:lastColumn="0" w:oddVBand="0" w:evenVBand="0" w:oddHBand="0" w:evenHBand="0" w:firstRowFirstColumn="0" w:firstRowLastColumn="0" w:lastRowFirstColumn="0" w:lastRowLastColumn="0"/>
            </w:pPr>
            <w:r w:rsidRPr="00880A63">
              <w:rPr>
                <w:b/>
              </w:rPr>
              <w:t>Novēršana</w:t>
            </w:r>
            <w:r>
              <w:t xml:space="preserve"> - </w:t>
            </w:r>
            <w:r w:rsidRPr="00E54D60">
              <w:t>Izvērtējot pētījumu pieteikumus, projektu atlases padome vērtē potenciālo pētījumu īstenotāju kapacitāti finansēt pētījumu pilnā apmērā, ņemot vērā sadarbības partneru apgrozījumu, P&amp;A izdevumus, kā arī iespējas piesaistīt finansējumu no privātiem investoriem vai bankas, lai plānotās izmaksas būtu samērīgas ar īstenotāju iespējām tās finansēt vismaz vienu gadu bez ERAF līdzfinansējuma.</w:t>
            </w:r>
          </w:p>
          <w:p w14:paraId="7860A3F6" w14:textId="77777777" w:rsidR="00872E34" w:rsidRPr="00E54D60" w:rsidRDefault="00872E34" w:rsidP="00714045">
            <w:pPr>
              <w:cnfStyle w:val="000000000000" w:firstRow="0" w:lastRow="0" w:firstColumn="0" w:lastColumn="0" w:oddVBand="0" w:evenVBand="0" w:oddHBand="0" w:evenHBand="0" w:firstRowFirstColumn="0" w:firstRowLastColumn="0" w:lastRowFirstColumn="0" w:lastRowLastColumn="0"/>
            </w:pPr>
            <w:r>
              <w:rPr>
                <w:b/>
              </w:rPr>
              <w:t>Ietekmes m</w:t>
            </w:r>
            <w:r w:rsidRPr="00880A63">
              <w:rPr>
                <w:b/>
              </w:rPr>
              <w:t>azināšana</w:t>
            </w:r>
            <w:r>
              <w:t xml:space="preserve"> – regulārs monitorings un atskaites par sasniegtajiem rezultātiem. Kompetences centra tiesības apturēt maksājumus, ja rezultāti ievērojami atpaliek no solītajiem. Palīdzība projekta izmaiņām, ja paša projekta gaita vai ārējie apstākļi to prasa.</w:t>
            </w:r>
          </w:p>
        </w:tc>
      </w:tr>
      <w:tr w:rsidR="00872E34" w:rsidRPr="00E54D60" w14:paraId="70AF48FB" w14:textId="77777777" w:rsidTr="002319D2">
        <w:trPr>
          <w:cantSplit/>
          <w:trHeight w:val="1134"/>
        </w:trPr>
        <w:tc>
          <w:tcPr>
            <w:cnfStyle w:val="001000000000" w:firstRow="0" w:lastRow="0" w:firstColumn="1" w:lastColumn="0" w:oddVBand="0" w:evenVBand="0" w:oddHBand="0" w:evenHBand="0" w:firstRowFirstColumn="0" w:firstRowLastColumn="0" w:lastRowFirstColumn="0" w:lastRowLastColumn="0"/>
            <w:tcW w:w="895" w:type="dxa"/>
          </w:tcPr>
          <w:p w14:paraId="5D9DE744" w14:textId="77777777" w:rsidR="00872E34" w:rsidRPr="00E54D60" w:rsidRDefault="00872E34" w:rsidP="00714045">
            <w:r w:rsidRPr="00E54D60">
              <w:t>1.1</w:t>
            </w:r>
          </w:p>
        </w:tc>
        <w:tc>
          <w:tcPr>
            <w:tcW w:w="1170" w:type="dxa"/>
          </w:tcPr>
          <w:p w14:paraId="0DBE0043" w14:textId="77777777" w:rsidR="00872E34" w:rsidRPr="00E54D60" w:rsidRDefault="00872E34" w:rsidP="00714045">
            <w:pPr>
              <w:cnfStyle w:val="000000000000" w:firstRow="0" w:lastRow="0" w:firstColumn="0" w:lastColumn="0" w:oddVBand="0" w:evenVBand="0" w:oddHBand="0" w:evenHBand="0" w:firstRowFirstColumn="0" w:firstRowLastColumn="0" w:lastRowFirstColumn="0" w:lastRowLastColumn="0"/>
            </w:pPr>
            <w:r w:rsidRPr="00E54D60">
              <w:t>Finanšu</w:t>
            </w:r>
          </w:p>
        </w:tc>
        <w:tc>
          <w:tcPr>
            <w:tcW w:w="1440" w:type="dxa"/>
          </w:tcPr>
          <w:p w14:paraId="4D1CB4AD" w14:textId="77777777" w:rsidR="00872E34" w:rsidRPr="00E54D60" w:rsidRDefault="00872E34" w:rsidP="00714045">
            <w:pPr>
              <w:cnfStyle w:val="000000000000" w:firstRow="0" w:lastRow="0" w:firstColumn="0" w:lastColumn="0" w:oddVBand="0" w:evenVBand="0" w:oddHBand="0" w:evenHBand="0" w:firstRowFirstColumn="0" w:firstRowLastColumn="0" w:lastRowFirstColumn="0" w:lastRowLastColumn="0"/>
            </w:pPr>
            <w:r>
              <w:t>Finanšu korekcija atsevišķā pētniecības projektā pirms maksājumu saņemšanas</w:t>
            </w:r>
          </w:p>
        </w:tc>
        <w:tc>
          <w:tcPr>
            <w:tcW w:w="540" w:type="dxa"/>
            <w:textDirection w:val="btLr"/>
            <w:vAlign w:val="center"/>
          </w:tcPr>
          <w:p w14:paraId="614C1C60" w14:textId="77777777" w:rsidR="00872E34" w:rsidRPr="00E54D60" w:rsidRDefault="00872E34" w:rsidP="002319D2">
            <w:pPr>
              <w:jc w:val="center"/>
              <w:cnfStyle w:val="000000000000" w:firstRow="0" w:lastRow="0" w:firstColumn="0" w:lastColumn="0" w:oddVBand="0" w:evenVBand="0" w:oddHBand="0" w:evenHBand="0" w:firstRowFirstColumn="0" w:firstRowLastColumn="0" w:lastRowFirstColumn="0" w:lastRowLastColumn="0"/>
            </w:pPr>
            <w:r>
              <w:t>Vidēja</w:t>
            </w:r>
          </w:p>
        </w:tc>
        <w:tc>
          <w:tcPr>
            <w:tcW w:w="900" w:type="dxa"/>
            <w:textDirection w:val="btLr"/>
            <w:vAlign w:val="center"/>
          </w:tcPr>
          <w:p w14:paraId="3FE96C50" w14:textId="77777777" w:rsidR="00872E34" w:rsidRPr="00E54D60" w:rsidRDefault="00872E34" w:rsidP="002319D2">
            <w:pPr>
              <w:jc w:val="center"/>
              <w:cnfStyle w:val="000000000000" w:firstRow="0" w:lastRow="0" w:firstColumn="0" w:lastColumn="0" w:oddVBand="0" w:evenVBand="0" w:oddHBand="0" w:evenHBand="0" w:firstRowFirstColumn="0" w:firstRowLastColumn="0" w:lastRowFirstColumn="0" w:lastRowLastColumn="0"/>
            </w:pPr>
            <w:r>
              <w:t>Zema</w:t>
            </w:r>
          </w:p>
        </w:tc>
        <w:tc>
          <w:tcPr>
            <w:tcW w:w="4500" w:type="dxa"/>
          </w:tcPr>
          <w:p w14:paraId="78ECFFF1" w14:textId="58E349AE" w:rsidR="00872E34" w:rsidRDefault="00872E34" w:rsidP="00714045">
            <w:pPr>
              <w:cnfStyle w:val="000000000000" w:firstRow="0" w:lastRow="0" w:firstColumn="0" w:lastColumn="0" w:oddVBand="0" w:evenVBand="0" w:oddHBand="0" w:evenHBand="0" w:firstRowFirstColumn="0" w:firstRowLastColumn="0" w:lastRowFirstColumn="0" w:lastRowLastColumn="0"/>
            </w:pPr>
            <w:r w:rsidRPr="00B356E6">
              <w:rPr>
                <w:b/>
              </w:rPr>
              <w:t>Novēršana</w:t>
            </w:r>
            <w:r>
              <w:t xml:space="preserve"> – konsultācijas Sadarbības pa</w:t>
            </w:r>
            <w:r w:rsidR="00352E44">
              <w:t>r</w:t>
            </w:r>
            <w:r>
              <w:t>t</w:t>
            </w:r>
            <w:r w:rsidR="00352E44">
              <w:t>n</w:t>
            </w:r>
            <w:r>
              <w:t>eriem par P&amp;A izmaksām. Konsultācijas iepirkumos. Maksājumu pieprasījumu pārbaude.</w:t>
            </w:r>
          </w:p>
          <w:p w14:paraId="3723BA4F" w14:textId="77777777" w:rsidR="00872E34" w:rsidRPr="00E54D60" w:rsidRDefault="00872E34" w:rsidP="00714045">
            <w:pPr>
              <w:cnfStyle w:val="000000000000" w:firstRow="0" w:lastRow="0" w:firstColumn="0" w:lastColumn="0" w:oddVBand="0" w:evenVBand="0" w:oddHBand="0" w:evenHBand="0" w:firstRowFirstColumn="0" w:firstRowLastColumn="0" w:lastRowFirstColumn="0" w:lastRowLastColumn="0"/>
            </w:pPr>
            <w:r>
              <w:rPr>
                <w:b/>
              </w:rPr>
              <w:t>Ietekmes</w:t>
            </w:r>
            <w:r w:rsidRPr="00B356E6">
              <w:rPr>
                <w:b/>
              </w:rPr>
              <w:t xml:space="preserve"> mazināšana</w:t>
            </w:r>
            <w:r>
              <w:t xml:space="preserve"> – atbalsta izmaksāšana partnerim tikai pēc maksājumu saņemšanas no Valsts kases.</w:t>
            </w:r>
          </w:p>
        </w:tc>
      </w:tr>
      <w:tr w:rsidR="00872E34" w:rsidRPr="00E54D60" w14:paraId="339A1FC6" w14:textId="77777777" w:rsidTr="002319D2">
        <w:trPr>
          <w:cantSplit/>
          <w:trHeight w:val="1134"/>
        </w:trPr>
        <w:tc>
          <w:tcPr>
            <w:cnfStyle w:val="001000000000" w:firstRow="0" w:lastRow="0" w:firstColumn="1" w:lastColumn="0" w:oddVBand="0" w:evenVBand="0" w:oddHBand="0" w:evenHBand="0" w:firstRowFirstColumn="0" w:firstRowLastColumn="0" w:lastRowFirstColumn="0" w:lastRowLastColumn="0"/>
            <w:tcW w:w="895" w:type="dxa"/>
          </w:tcPr>
          <w:p w14:paraId="0F8FAEB0" w14:textId="77777777" w:rsidR="00872E34" w:rsidRPr="00E54D60" w:rsidRDefault="00872E34" w:rsidP="00714045">
            <w:r>
              <w:t>1.2.</w:t>
            </w:r>
          </w:p>
        </w:tc>
        <w:tc>
          <w:tcPr>
            <w:tcW w:w="1170" w:type="dxa"/>
          </w:tcPr>
          <w:p w14:paraId="162D3FD3" w14:textId="77777777" w:rsidR="00872E34" w:rsidRPr="00E54D60" w:rsidRDefault="00872E34" w:rsidP="00714045">
            <w:pPr>
              <w:cnfStyle w:val="000000000000" w:firstRow="0" w:lastRow="0" w:firstColumn="0" w:lastColumn="0" w:oddVBand="0" w:evenVBand="0" w:oddHBand="0" w:evenHBand="0" w:firstRowFirstColumn="0" w:firstRowLastColumn="0" w:lastRowFirstColumn="0" w:lastRowLastColumn="0"/>
            </w:pPr>
            <w:r>
              <w:t>Finanšu</w:t>
            </w:r>
          </w:p>
        </w:tc>
        <w:tc>
          <w:tcPr>
            <w:tcW w:w="1440" w:type="dxa"/>
          </w:tcPr>
          <w:p w14:paraId="60F649BB" w14:textId="77777777" w:rsidR="00872E34" w:rsidRPr="00E54D60" w:rsidRDefault="00872E34" w:rsidP="00714045">
            <w:pPr>
              <w:cnfStyle w:val="000000000000" w:firstRow="0" w:lastRow="0" w:firstColumn="0" w:lastColumn="0" w:oddVBand="0" w:evenVBand="0" w:oddHBand="0" w:evenHBand="0" w:firstRowFirstColumn="0" w:firstRowLastColumn="0" w:lastRowFirstColumn="0" w:lastRowLastColumn="0"/>
            </w:pPr>
            <w:r>
              <w:t>Finanšu korekcija piemērota pēc projekta pabeigšanas</w:t>
            </w:r>
          </w:p>
        </w:tc>
        <w:tc>
          <w:tcPr>
            <w:tcW w:w="540" w:type="dxa"/>
            <w:textDirection w:val="btLr"/>
            <w:vAlign w:val="center"/>
          </w:tcPr>
          <w:p w14:paraId="63778118" w14:textId="77777777" w:rsidR="00872E34" w:rsidRPr="00E54D60" w:rsidRDefault="00872E34" w:rsidP="002319D2">
            <w:pPr>
              <w:jc w:val="center"/>
              <w:cnfStyle w:val="000000000000" w:firstRow="0" w:lastRow="0" w:firstColumn="0" w:lastColumn="0" w:oddVBand="0" w:evenVBand="0" w:oddHBand="0" w:evenHBand="0" w:firstRowFirstColumn="0" w:firstRowLastColumn="0" w:lastRowFirstColumn="0" w:lastRowLastColumn="0"/>
            </w:pPr>
            <w:r>
              <w:t>Augsta</w:t>
            </w:r>
          </w:p>
        </w:tc>
        <w:tc>
          <w:tcPr>
            <w:tcW w:w="900" w:type="dxa"/>
            <w:textDirection w:val="btLr"/>
            <w:vAlign w:val="center"/>
          </w:tcPr>
          <w:p w14:paraId="7AA060B7" w14:textId="77777777" w:rsidR="00872E34" w:rsidRPr="00E54D60" w:rsidRDefault="00872E34" w:rsidP="002319D2">
            <w:pPr>
              <w:jc w:val="center"/>
              <w:cnfStyle w:val="000000000000" w:firstRow="0" w:lastRow="0" w:firstColumn="0" w:lastColumn="0" w:oddVBand="0" w:evenVBand="0" w:oddHBand="0" w:evenHBand="0" w:firstRowFirstColumn="0" w:firstRowLastColumn="0" w:lastRowFirstColumn="0" w:lastRowLastColumn="0"/>
            </w:pPr>
            <w:r>
              <w:t>Vidēja</w:t>
            </w:r>
          </w:p>
        </w:tc>
        <w:tc>
          <w:tcPr>
            <w:tcW w:w="4500" w:type="dxa"/>
          </w:tcPr>
          <w:p w14:paraId="75AB3501" w14:textId="77777777" w:rsidR="00872E34" w:rsidRDefault="00872E34" w:rsidP="00714045">
            <w:pPr>
              <w:cnfStyle w:val="000000000000" w:firstRow="0" w:lastRow="0" w:firstColumn="0" w:lastColumn="0" w:oddVBand="0" w:evenVBand="0" w:oddHBand="0" w:evenHBand="0" w:firstRowFirstColumn="0" w:firstRowLastColumn="0" w:lastRowFirstColumn="0" w:lastRowLastColumn="0"/>
            </w:pPr>
            <w:r w:rsidRPr="00B356E6">
              <w:rPr>
                <w:b/>
              </w:rPr>
              <w:t>Novēršana</w:t>
            </w:r>
            <w:r>
              <w:rPr>
                <w:b/>
              </w:rPr>
              <w:t xml:space="preserve"> – </w:t>
            </w:r>
            <w:r w:rsidRPr="00B356E6">
              <w:t>projektu atlase</w:t>
            </w:r>
            <w:r>
              <w:rPr>
                <w:b/>
              </w:rPr>
              <w:t xml:space="preserve">, </w:t>
            </w:r>
            <w:r>
              <w:t>tas pats, kas iepriekšējam riskam.</w:t>
            </w:r>
          </w:p>
          <w:p w14:paraId="441D5030" w14:textId="77777777" w:rsidR="00872E34" w:rsidRPr="00B356E6" w:rsidRDefault="00872E34" w:rsidP="00714045">
            <w:pPr>
              <w:cnfStyle w:val="000000000000" w:firstRow="0" w:lastRow="0" w:firstColumn="0" w:lastColumn="0" w:oddVBand="0" w:evenVBand="0" w:oddHBand="0" w:evenHBand="0" w:firstRowFirstColumn="0" w:firstRowLastColumn="0" w:lastRowFirstColumn="0" w:lastRowLastColumn="0"/>
              <w:rPr>
                <w:b/>
              </w:rPr>
            </w:pPr>
            <w:r>
              <w:rPr>
                <w:b/>
              </w:rPr>
              <w:t>Ietekmes</w:t>
            </w:r>
            <w:r w:rsidRPr="00B356E6">
              <w:rPr>
                <w:b/>
              </w:rPr>
              <w:t xml:space="preserve"> mazināšana</w:t>
            </w:r>
            <w:r>
              <w:rPr>
                <w:b/>
              </w:rPr>
              <w:t xml:space="preserve"> – </w:t>
            </w:r>
            <w:r w:rsidRPr="00B356E6">
              <w:t>publikācijas</w:t>
            </w:r>
            <w:r>
              <w:t xml:space="preserve"> bonusa izmaksāšana tikai pēc publicēšanas. Šaubu gadījumā ekspertu pieaicināšana projekta izvērtēšanai no ārpuses. Starpatskaišu padziļināta vērtēšana, ja ceturkšņa pārskats dod tam pamatu.</w:t>
            </w:r>
          </w:p>
        </w:tc>
      </w:tr>
      <w:tr w:rsidR="00872E34" w:rsidRPr="00E54D60" w14:paraId="336EAFF3" w14:textId="77777777" w:rsidTr="002319D2">
        <w:trPr>
          <w:cantSplit/>
          <w:trHeight w:val="1134"/>
        </w:trPr>
        <w:tc>
          <w:tcPr>
            <w:cnfStyle w:val="001000000000" w:firstRow="0" w:lastRow="0" w:firstColumn="1" w:lastColumn="0" w:oddVBand="0" w:evenVBand="0" w:oddHBand="0" w:evenHBand="0" w:firstRowFirstColumn="0" w:firstRowLastColumn="0" w:lastRowFirstColumn="0" w:lastRowLastColumn="0"/>
            <w:tcW w:w="895" w:type="dxa"/>
          </w:tcPr>
          <w:p w14:paraId="3AC1BCB5" w14:textId="77777777" w:rsidR="00872E34" w:rsidRPr="00E54D60" w:rsidRDefault="00872E34" w:rsidP="00714045">
            <w:r>
              <w:lastRenderedPageBreak/>
              <w:t>1.3</w:t>
            </w:r>
          </w:p>
        </w:tc>
        <w:tc>
          <w:tcPr>
            <w:tcW w:w="1170" w:type="dxa"/>
          </w:tcPr>
          <w:p w14:paraId="35713410" w14:textId="77777777" w:rsidR="00872E34" w:rsidRPr="00E54D60" w:rsidRDefault="00872E34" w:rsidP="00714045">
            <w:pPr>
              <w:cnfStyle w:val="000000000000" w:firstRow="0" w:lastRow="0" w:firstColumn="0" w:lastColumn="0" w:oddVBand="0" w:evenVBand="0" w:oddHBand="0" w:evenHBand="0" w:firstRowFirstColumn="0" w:firstRowLastColumn="0" w:lastRowFirstColumn="0" w:lastRowLastColumn="0"/>
            </w:pPr>
            <w:r>
              <w:t>Finanšu</w:t>
            </w:r>
          </w:p>
        </w:tc>
        <w:tc>
          <w:tcPr>
            <w:tcW w:w="1440" w:type="dxa"/>
          </w:tcPr>
          <w:p w14:paraId="52E70827" w14:textId="77777777" w:rsidR="00872E34" w:rsidRPr="00E54D60" w:rsidRDefault="00872E34" w:rsidP="00714045">
            <w:pPr>
              <w:cnfStyle w:val="000000000000" w:firstRow="0" w:lastRow="0" w:firstColumn="0" w:lastColumn="0" w:oddVBand="0" w:evenVBand="0" w:oddHBand="0" w:evenHBand="0" w:firstRowFirstColumn="0" w:firstRowLastColumn="0" w:lastRowFirstColumn="0" w:lastRowLastColumn="0"/>
            </w:pPr>
            <w:r>
              <w:t>P&amp;A ieguldījumi ir mazāki par plānotajiem un netiek izpildīts privāto ieguldījumu apjoms P&amp;A</w:t>
            </w:r>
          </w:p>
        </w:tc>
        <w:tc>
          <w:tcPr>
            <w:tcW w:w="540" w:type="dxa"/>
            <w:textDirection w:val="btLr"/>
            <w:vAlign w:val="center"/>
          </w:tcPr>
          <w:p w14:paraId="04309ECE" w14:textId="77777777" w:rsidR="00872E34" w:rsidRPr="00E54D60" w:rsidRDefault="00872E34" w:rsidP="002319D2">
            <w:pPr>
              <w:jc w:val="center"/>
              <w:cnfStyle w:val="000000000000" w:firstRow="0" w:lastRow="0" w:firstColumn="0" w:lastColumn="0" w:oddVBand="0" w:evenVBand="0" w:oddHBand="0" w:evenHBand="0" w:firstRowFirstColumn="0" w:firstRowLastColumn="0" w:lastRowFirstColumn="0" w:lastRowLastColumn="0"/>
            </w:pPr>
            <w:r>
              <w:t>Augsta</w:t>
            </w:r>
          </w:p>
        </w:tc>
        <w:tc>
          <w:tcPr>
            <w:tcW w:w="900" w:type="dxa"/>
            <w:textDirection w:val="btLr"/>
            <w:vAlign w:val="center"/>
          </w:tcPr>
          <w:p w14:paraId="5849081F" w14:textId="77777777" w:rsidR="00872E34" w:rsidRPr="00E54D60" w:rsidRDefault="00872E34" w:rsidP="002319D2">
            <w:pPr>
              <w:jc w:val="center"/>
              <w:cnfStyle w:val="000000000000" w:firstRow="0" w:lastRow="0" w:firstColumn="0" w:lastColumn="0" w:oddVBand="0" w:evenVBand="0" w:oddHBand="0" w:evenHBand="0" w:firstRowFirstColumn="0" w:firstRowLastColumn="0" w:lastRowFirstColumn="0" w:lastRowLastColumn="0"/>
            </w:pPr>
            <w:r>
              <w:t>Vidēja</w:t>
            </w:r>
          </w:p>
        </w:tc>
        <w:tc>
          <w:tcPr>
            <w:tcW w:w="4500" w:type="dxa"/>
          </w:tcPr>
          <w:p w14:paraId="04C96B73" w14:textId="77777777" w:rsidR="00872E34" w:rsidRDefault="00872E34" w:rsidP="00714045">
            <w:pPr>
              <w:cnfStyle w:val="000000000000" w:firstRow="0" w:lastRow="0" w:firstColumn="0" w:lastColumn="0" w:oddVBand="0" w:evenVBand="0" w:oddHBand="0" w:evenHBand="0" w:firstRowFirstColumn="0" w:firstRowLastColumn="0" w:lastRowFirstColumn="0" w:lastRowLastColumn="0"/>
            </w:pPr>
            <w:r w:rsidRPr="00B356E6">
              <w:rPr>
                <w:b/>
              </w:rPr>
              <w:t xml:space="preserve">Novēršana </w:t>
            </w:r>
            <w:r>
              <w:rPr>
                <w:b/>
              </w:rPr>
              <w:t xml:space="preserve">– </w:t>
            </w:r>
            <w:r>
              <w:t>pietiekoši liels projektu skaits, pakāpeniska projektu finansēšana, projektu rezerves saraksts.</w:t>
            </w:r>
          </w:p>
          <w:p w14:paraId="3E2BDA9E" w14:textId="77777777" w:rsidR="00872E34" w:rsidRPr="00B56733" w:rsidRDefault="00872E34" w:rsidP="00714045">
            <w:pPr>
              <w:cnfStyle w:val="000000000000" w:firstRow="0" w:lastRow="0" w:firstColumn="0" w:lastColumn="0" w:oddVBand="0" w:evenVBand="0" w:oddHBand="0" w:evenHBand="0" w:firstRowFirstColumn="0" w:firstRowLastColumn="0" w:lastRowFirstColumn="0" w:lastRowLastColumn="0"/>
            </w:pPr>
            <w:r>
              <w:rPr>
                <w:b/>
              </w:rPr>
              <w:t>Ietekmes</w:t>
            </w:r>
            <w:r w:rsidRPr="00B356E6">
              <w:rPr>
                <w:b/>
              </w:rPr>
              <w:t xml:space="preserve"> mazināšana</w:t>
            </w:r>
            <w:r>
              <w:t xml:space="preserve"> – līgumiskās attiecības starp Sadarbības partneriem, kas ļauj par neizpildi atbildīgajiem partneriem pieprasīt kompensāciju finansiāli negatīvu seku iestāšanās gadījumā.</w:t>
            </w:r>
          </w:p>
        </w:tc>
      </w:tr>
      <w:tr w:rsidR="00872E34" w:rsidRPr="00E54D60" w14:paraId="0BBB40A4" w14:textId="77777777" w:rsidTr="002319D2">
        <w:trPr>
          <w:cantSplit/>
          <w:trHeight w:val="1134"/>
        </w:trPr>
        <w:tc>
          <w:tcPr>
            <w:cnfStyle w:val="001000000000" w:firstRow="0" w:lastRow="0" w:firstColumn="1" w:lastColumn="0" w:oddVBand="0" w:evenVBand="0" w:oddHBand="0" w:evenHBand="0" w:firstRowFirstColumn="0" w:firstRowLastColumn="0" w:lastRowFirstColumn="0" w:lastRowLastColumn="0"/>
            <w:tcW w:w="895" w:type="dxa"/>
          </w:tcPr>
          <w:p w14:paraId="3860BADF" w14:textId="77777777" w:rsidR="00872E34" w:rsidRPr="00E54D60" w:rsidRDefault="00872E34" w:rsidP="00714045">
            <w:r>
              <w:t>1.4.</w:t>
            </w:r>
          </w:p>
        </w:tc>
        <w:tc>
          <w:tcPr>
            <w:tcW w:w="1170" w:type="dxa"/>
          </w:tcPr>
          <w:p w14:paraId="71EDBC53" w14:textId="77777777" w:rsidR="00872E34" w:rsidRPr="00E54D60" w:rsidRDefault="00872E34" w:rsidP="00714045">
            <w:pPr>
              <w:cnfStyle w:val="000000000000" w:firstRow="0" w:lastRow="0" w:firstColumn="0" w:lastColumn="0" w:oddVBand="0" w:evenVBand="0" w:oddHBand="0" w:evenHBand="0" w:firstRowFirstColumn="0" w:firstRowLastColumn="0" w:lastRowFirstColumn="0" w:lastRowLastColumn="0"/>
            </w:pPr>
            <w:r>
              <w:t xml:space="preserve">Finanšu </w:t>
            </w:r>
          </w:p>
        </w:tc>
        <w:tc>
          <w:tcPr>
            <w:tcW w:w="1440" w:type="dxa"/>
          </w:tcPr>
          <w:p w14:paraId="485EA8A6" w14:textId="77777777" w:rsidR="00872E34" w:rsidRPr="00E54D60" w:rsidRDefault="00872E34" w:rsidP="00714045">
            <w:pPr>
              <w:cnfStyle w:val="000000000000" w:firstRow="0" w:lastRow="0" w:firstColumn="0" w:lastColumn="0" w:oddVBand="0" w:evenVBand="0" w:oddHBand="0" w:evenHBand="0" w:firstRowFirstColumn="0" w:firstRowLastColumn="0" w:lastRowFirstColumn="0" w:lastRowLastColumn="0"/>
            </w:pPr>
            <w:r>
              <w:t>Sadarbības partneris ir grūtības nonācis komersants</w:t>
            </w:r>
          </w:p>
        </w:tc>
        <w:tc>
          <w:tcPr>
            <w:tcW w:w="540" w:type="dxa"/>
            <w:textDirection w:val="btLr"/>
            <w:vAlign w:val="center"/>
          </w:tcPr>
          <w:p w14:paraId="7278C2BE" w14:textId="77777777" w:rsidR="00872E34" w:rsidRDefault="00872E34" w:rsidP="002319D2">
            <w:pPr>
              <w:jc w:val="center"/>
              <w:cnfStyle w:val="000000000000" w:firstRow="0" w:lastRow="0" w:firstColumn="0" w:lastColumn="0" w:oddVBand="0" w:evenVBand="0" w:oddHBand="0" w:evenHBand="0" w:firstRowFirstColumn="0" w:firstRowLastColumn="0" w:lastRowFirstColumn="0" w:lastRowLastColumn="0"/>
            </w:pPr>
            <w:r>
              <w:t>Vidēja</w:t>
            </w:r>
          </w:p>
        </w:tc>
        <w:tc>
          <w:tcPr>
            <w:tcW w:w="900" w:type="dxa"/>
            <w:textDirection w:val="btLr"/>
            <w:vAlign w:val="center"/>
          </w:tcPr>
          <w:p w14:paraId="1DD3D615" w14:textId="77777777" w:rsidR="00872E34" w:rsidRDefault="00872E34" w:rsidP="002319D2">
            <w:pPr>
              <w:jc w:val="center"/>
              <w:cnfStyle w:val="000000000000" w:firstRow="0" w:lastRow="0" w:firstColumn="0" w:lastColumn="0" w:oddVBand="0" w:evenVBand="0" w:oddHBand="0" w:evenHBand="0" w:firstRowFirstColumn="0" w:firstRowLastColumn="0" w:lastRowFirstColumn="0" w:lastRowLastColumn="0"/>
            </w:pPr>
            <w:r>
              <w:t>Vidēja</w:t>
            </w:r>
          </w:p>
        </w:tc>
        <w:tc>
          <w:tcPr>
            <w:tcW w:w="4500" w:type="dxa"/>
          </w:tcPr>
          <w:p w14:paraId="62C89C33" w14:textId="77777777" w:rsidR="00872E34" w:rsidRDefault="00872E34" w:rsidP="00714045">
            <w:pPr>
              <w:cnfStyle w:val="000000000000" w:firstRow="0" w:lastRow="0" w:firstColumn="0" w:lastColumn="0" w:oddVBand="0" w:evenVBand="0" w:oddHBand="0" w:evenHBand="0" w:firstRowFirstColumn="0" w:firstRowLastColumn="0" w:lastRowFirstColumn="0" w:lastRowLastColumn="0"/>
            </w:pPr>
            <w:r>
              <w:rPr>
                <w:b/>
              </w:rPr>
              <w:t xml:space="preserve">Novēršana – </w:t>
            </w:r>
            <w:r>
              <w:t>Sadarbības partneru pārbaude pēc to gada pārskatiem, pēc pārskatu iesniegšanas. Finansiāli stabilu Sadarbības partneru izvēle.</w:t>
            </w:r>
          </w:p>
          <w:p w14:paraId="451D2FB0" w14:textId="77777777" w:rsidR="00872E34" w:rsidRPr="00B356E6" w:rsidRDefault="00872E34" w:rsidP="00714045">
            <w:pPr>
              <w:cnfStyle w:val="000000000000" w:firstRow="0" w:lastRow="0" w:firstColumn="0" w:lastColumn="0" w:oddVBand="0" w:evenVBand="0" w:oddHBand="0" w:evenHBand="0" w:firstRowFirstColumn="0" w:firstRowLastColumn="0" w:lastRowFirstColumn="0" w:lastRowLastColumn="0"/>
              <w:rPr>
                <w:b/>
              </w:rPr>
            </w:pPr>
            <w:r w:rsidRPr="00FC2F80">
              <w:rPr>
                <w:b/>
              </w:rPr>
              <w:t>Ietekmes mazināšana</w:t>
            </w:r>
            <w:r>
              <w:t xml:space="preserve"> – KC struktūra veidota tā, ka neviens no sadarbības partneriem nav saistītā persona ar Kompetences centru regulas 651/2014 izpratnē.</w:t>
            </w:r>
          </w:p>
        </w:tc>
      </w:tr>
      <w:tr w:rsidR="00872E34" w:rsidRPr="00E54D60" w14:paraId="5F938C30" w14:textId="77777777" w:rsidTr="002319D2">
        <w:trPr>
          <w:cantSplit/>
          <w:trHeight w:val="1134"/>
        </w:trPr>
        <w:tc>
          <w:tcPr>
            <w:cnfStyle w:val="001000000000" w:firstRow="0" w:lastRow="0" w:firstColumn="1" w:lastColumn="0" w:oddVBand="0" w:evenVBand="0" w:oddHBand="0" w:evenHBand="0" w:firstRowFirstColumn="0" w:firstRowLastColumn="0" w:lastRowFirstColumn="0" w:lastRowLastColumn="0"/>
            <w:tcW w:w="895" w:type="dxa"/>
          </w:tcPr>
          <w:p w14:paraId="29AB94EB" w14:textId="77777777" w:rsidR="00872E34" w:rsidRPr="00E54D60" w:rsidRDefault="00872E34" w:rsidP="00714045">
            <w:r>
              <w:t>1.5.</w:t>
            </w:r>
          </w:p>
        </w:tc>
        <w:tc>
          <w:tcPr>
            <w:tcW w:w="1170" w:type="dxa"/>
          </w:tcPr>
          <w:p w14:paraId="367CBDD5" w14:textId="77777777" w:rsidR="00872E34" w:rsidRPr="00E54D60" w:rsidRDefault="00872E34" w:rsidP="00714045">
            <w:pPr>
              <w:cnfStyle w:val="000000000000" w:firstRow="0" w:lastRow="0" w:firstColumn="0" w:lastColumn="0" w:oddVBand="0" w:evenVBand="0" w:oddHBand="0" w:evenHBand="0" w:firstRowFirstColumn="0" w:firstRowLastColumn="0" w:lastRowFirstColumn="0" w:lastRowLastColumn="0"/>
            </w:pPr>
            <w:r>
              <w:t xml:space="preserve">Finanšu </w:t>
            </w:r>
          </w:p>
        </w:tc>
        <w:tc>
          <w:tcPr>
            <w:tcW w:w="1440" w:type="dxa"/>
          </w:tcPr>
          <w:p w14:paraId="6A8B72A3" w14:textId="228E7E7D" w:rsidR="00872E34" w:rsidRPr="00E54D60" w:rsidRDefault="00872E34" w:rsidP="00714045">
            <w:pPr>
              <w:cnfStyle w:val="000000000000" w:firstRow="0" w:lastRow="0" w:firstColumn="0" w:lastColumn="0" w:oddVBand="0" w:evenVBand="0" w:oddHBand="0" w:evenHBand="0" w:firstRowFirstColumn="0" w:firstRowLastColumn="0" w:lastRowFirstColumn="0" w:lastRowLastColumn="0"/>
            </w:pPr>
            <w:r>
              <w:t>Sadarbības partneris</w:t>
            </w:r>
            <w:r w:rsidR="003D09D7">
              <w:t xml:space="preserve"> </w:t>
            </w:r>
            <w:r>
              <w:t xml:space="preserve">saņem neatļautu atbalstu valstij esot parādā nodokļu maksājumus </w:t>
            </w:r>
          </w:p>
        </w:tc>
        <w:tc>
          <w:tcPr>
            <w:tcW w:w="540" w:type="dxa"/>
            <w:textDirection w:val="btLr"/>
            <w:vAlign w:val="center"/>
          </w:tcPr>
          <w:p w14:paraId="02B9C464" w14:textId="77777777" w:rsidR="00872E34" w:rsidRDefault="00872E34" w:rsidP="002319D2">
            <w:pPr>
              <w:jc w:val="center"/>
              <w:cnfStyle w:val="000000000000" w:firstRow="0" w:lastRow="0" w:firstColumn="0" w:lastColumn="0" w:oddVBand="0" w:evenVBand="0" w:oddHBand="0" w:evenHBand="0" w:firstRowFirstColumn="0" w:firstRowLastColumn="0" w:lastRowFirstColumn="0" w:lastRowLastColumn="0"/>
            </w:pPr>
            <w:r>
              <w:t>Vidēja</w:t>
            </w:r>
          </w:p>
        </w:tc>
        <w:tc>
          <w:tcPr>
            <w:tcW w:w="900" w:type="dxa"/>
            <w:textDirection w:val="btLr"/>
            <w:vAlign w:val="center"/>
          </w:tcPr>
          <w:p w14:paraId="2BAFD665" w14:textId="77777777" w:rsidR="00872E34" w:rsidRDefault="00872E34" w:rsidP="002319D2">
            <w:pPr>
              <w:jc w:val="center"/>
              <w:cnfStyle w:val="000000000000" w:firstRow="0" w:lastRow="0" w:firstColumn="0" w:lastColumn="0" w:oddVBand="0" w:evenVBand="0" w:oddHBand="0" w:evenHBand="0" w:firstRowFirstColumn="0" w:firstRowLastColumn="0" w:lastRowFirstColumn="0" w:lastRowLastColumn="0"/>
            </w:pPr>
            <w:r>
              <w:t>Vidēja</w:t>
            </w:r>
          </w:p>
        </w:tc>
        <w:tc>
          <w:tcPr>
            <w:tcW w:w="4500" w:type="dxa"/>
          </w:tcPr>
          <w:p w14:paraId="13C09EAA" w14:textId="77777777" w:rsidR="00872E34" w:rsidRPr="00CC0D53" w:rsidRDefault="00872E34" w:rsidP="00714045">
            <w:pPr>
              <w:cnfStyle w:val="000000000000" w:firstRow="0" w:lastRow="0" w:firstColumn="0" w:lastColumn="0" w:oddVBand="0" w:evenVBand="0" w:oddHBand="0" w:evenHBand="0" w:firstRowFirstColumn="0" w:firstRowLastColumn="0" w:lastRowFirstColumn="0" w:lastRowLastColumn="0"/>
            </w:pPr>
            <w:r>
              <w:rPr>
                <w:b/>
              </w:rPr>
              <w:t xml:space="preserve">Novēršana – </w:t>
            </w:r>
            <w:r>
              <w:t>Sadarbības partneru pārbaude pirms maksājumu veikšanas.</w:t>
            </w:r>
          </w:p>
        </w:tc>
      </w:tr>
      <w:tr w:rsidR="00872E34" w:rsidRPr="00E54D60" w14:paraId="1320EC5E" w14:textId="77777777" w:rsidTr="002319D2">
        <w:trPr>
          <w:cantSplit/>
          <w:trHeight w:val="1134"/>
        </w:trPr>
        <w:tc>
          <w:tcPr>
            <w:cnfStyle w:val="001000000000" w:firstRow="0" w:lastRow="0" w:firstColumn="1" w:lastColumn="0" w:oddVBand="0" w:evenVBand="0" w:oddHBand="0" w:evenHBand="0" w:firstRowFirstColumn="0" w:firstRowLastColumn="0" w:lastRowFirstColumn="0" w:lastRowLastColumn="0"/>
            <w:tcW w:w="895" w:type="dxa"/>
          </w:tcPr>
          <w:p w14:paraId="3A7602A0" w14:textId="77777777" w:rsidR="00872E34" w:rsidRPr="00E54D60" w:rsidRDefault="00872E34" w:rsidP="00714045">
            <w:r w:rsidRPr="00E54D60">
              <w:t>2.</w:t>
            </w:r>
          </w:p>
        </w:tc>
        <w:tc>
          <w:tcPr>
            <w:tcW w:w="1170" w:type="dxa"/>
          </w:tcPr>
          <w:p w14:paraId="5C4F9142" w14:textId="77777777" w:rsidR="00872E34" w:rsidRPr="00E54D60" w:rsidRDefault="00872E34" w:rsidP="00714045">
            <w:pPr>
              <w:cnfStyle w:val="000000000000" w:firstRow="0" w:lastRow="0" w:firstColumn="0" w:lastColumn="0" w:oddVBand="0" w:evenVBand="0" w:oddHBand="0" w:evenHBand="0" w:firstRowFirstColumn="0" w:firstRowLastColumn="0" w:lastRowFirstColumn="0" w:lastRowLastColumn="0"/>
            </w:pPr>
            <w:r w:rsidRPr="00E54D60">
              <w:t xml:space="preserve">Īstenošanas </w:t>
            </w:r>
          </w:p>
        </w:tc>
        <w:tc>
          <w:tcPr>
            <w:tcW w:w="1440" w:type="dxa"/>
          </w:tcPr>
          <w:p w14:paraId="738488B6" w14:textId="77777777" w:rsidR="00872E34" w:rsidRPr="00E54D60" w:rsidRDefault="00872E34" w:rsidP="00714045">
            <w:pPr>
              <w:cnfStyle w:val="000000000000" w:firstRow="0" w:lastRow="0" w:firstColumn="0" w:lastColumn="0" w:oddVBand="0" w:evenVBand="0" w:oddHBand="0" w:evenHBand="0" w:firstRowFirstColumn="0" w:firstRowLastColumn="0" w:lastRowFirstColumn="0" w:lastRowLastColumn="0"/>
            </w:pPr>
            <w:r w:rsidRPr="00E54D60">
              <w:t>Iepirkumu procedūras aizkavēšanās</w:t>
            </w:r>
          </w:p>
        </w:tc>
        <w:tc>
          <w:tcPr>
            <w:tcW w:w="540" w:type="dxa"/>
            <w:textDirection w:val="btLr"/>
            <w:vAlign w:val="center"/>
          </w:tcPr>
          <w:p w14:paraId="3E7D91FF" w14:textId="77777777" w:rsidR="00872E34" w:rsidRPr="00E54D60" w:rsidRDefault="00872E34" w:rsidP="002319D2">
            <w:pPr>
              <w:jc w:val="center"/>
              <w:cnfStyle w:val="000000000000" w:firstRow="0" w:lastRow="0" w:firstColumn="0" w:lastColumn="0" w:oddVBand="0" w:evenVBand="0" w:oddHBand="0" w:evenHBand="0" w:firstRowFirstColumn="0" w:firstRowLastColumn="0" w:lastRowFirstColumn="0" w:lastRowLastColumn="0"/>
            </w:pPr>
            <w:r>
              <w:t>Zema</w:t>
            </w:r>
          </w:p>
        </w:tc>
        <w:tc>
          <w:tcPr>
            <w:tcW w:w="900" w:type="dxa"/>
            <w:textDirection w:val="btLr"/>
            <w:vAlign w:val="center"/>
          </w:tcPr>
          <w:p w14:paraId="7256C26B" w14:textId="77777777" w:rsidR="00872E34" w:rsidRPr="00E54D60" w:rsidRDefault="00872E34" w:rsidP="002319D2">
            <w:pPr>
              <w:jc w:val="center"/>
              <w:cnfStyle w:val="000000000000" w:firstRow="0" w:lastRow="0" w:firstColumn="0" w:lastColumn="0" w:oddVBand="0" w:evenVBand="0" w:oddHBand="0" w:evenHBand="0" w:firstRowFirstColumn="0" w:firstRowLastColumn="0" w:lastRowFirstColumn="0" w:lastRowLastColumn="0"/>
            </w:pPr>
            <w:r>
              <w:t>Vidēja</w:t>
            </w:r>
          </w:p>
        </w:tc>
        <w:tc>
          <w:tcPr>
            <w:tcW w:w="4500" w:type="dxa"/>
          </w:tcPr>
          <w:p w14:paraId="056D7A76" w14:textId="77777777" w:rsidR="00872E34" w:rsidRDefault="00872E34" w:rsidP="00714045">
            <w:pPr>
              <w:cnfStyle w:val="000000000000" w:firstRow="0" w:lastRow="0" w:firstColumn="0" w:lastColumn="0" w:oddVBand="0" w:evenVBand="0" w:oddHBand="0" w:evenHBand="0" w:firstRowFirstColumn="0" w:firstRowLastColumn="0" w:lastRowFirstColumn="0" w:lastRowLastColumn="0"/>
            </w:pPr>
            <w:r w:rsidRPr="00B356E6">
              <w:rPr>
                <w:b/>
              </w:rPr>
              <w:t>Novēršana</w:t>
            </w:r>
            <w:r>
              <w:rPr>
                <w:b/>
              </w:rPr>
              <w:t xml:space="preserve"> </w:t>
            </w:r>
            <w:r w:rsidRPr="00B356E6">
              <w:rPr>
                <w:b/>
              </w:rPr>
              <w:t>-</w:t>
            </w:r>
            <w:r>
              <w:t xml:space="preserve"> konsultācijas, kvalitatīvu un pareizu iepirkumu procedūru veikšanā. Konsultatīvais atbalsts no Kompetences centra puses.</w:t>
            </w:r>
          </w:p>
          <w:p w14:paraId="53FFB072" w14:textId="77777777" w:rsidR="00872E34" w:rsidRPr="00B356E6" w:rsidRDefault="00872E34" w:rsidP="00714045">
            <w:pPr>
              <w:cnfStyle w:val="000000000000" w:firstRow="0" w:lastRow="0" w:firstColumn="0" w:lastColumn="0" w:oddVBand="0" w:evenVBand="0" w:oddHBand="0" w:evenHBand="0" w:firstRowFirstColumn="0" w:firstRowLastColumn="0" w:lastRowFirstColumn="0" w:lastRowLastColumn="0"/>
              <w:rPr>
                <w:b/>
              </w:rPr>
            </w:pPr>
            <w:r>
              <w:rPr>
                <w:b/>
              </w:rPr>
              <w:t>Ietekmes</w:t>
            </w:r>
            <w:r w:rsidRPr="00B356E6">
              <w:rPr>
                <w:b/>
              </w:rPr>
              <w:t xml:space="preserve"> mazināšana </w:t>
            </w:r>
            <w:r>
              <w:rPr>
                <w:b/>
              </w:rPr>
              <w:t>–</w:t>
            </w:r>
            <w:r w:rsidRPr="00B356E6">
              <w:rPr>
                <w:b/>
              </w:rPr>
              <w:t xml:space="preserve"> </w:t>
            </w:r>
            <w:r>
              <w:t>pietiekoši liels projektu skaits, ceturkšņa atskaites.</w:t>
            </w:r>
          </w:p>
        </w:tc>
      </w:tr>
      <w:tr w:rsidR="00872E34" w:rsidRPr="00E54D60" w14:paraId="56301AEC" w14:textId="77777777" w:rsidTr="002319D2">
        <w:trPr>
          <w:cantSplit/>
          <w:trHeight w:val="1134"/>
        </w:trPr>
        <w:tc>
          <w:tcPr>
            <w:cnfStyle w:val="001000000000" w:firstRow="0" w:lastRow="0" w:firstColumn="1" w:lastColumn="0" w:oddVBand="0" w:evenVBand="0" w:oddHBand="0" w:evenHBand="0" w:firstRowFirstColumn="0" w:firstRowLastColumn="0" w:lastRowFirstColumn="0" w:lastRowLastColumn="0"/>
            <w:tcW w:w="895" w:type="dxa"/>
          </w:tcPr>
          <w:p w14:paraId="71189BA7" w14:textId="77777777" w:rsidR="00872E34" w:rsidRPr="00E54D60" w:rsidRDefault="00872E34" w:rsidP="00714045">
            <w:r>
              <w:t>2.1.</w:t>
            </w:r>
          </w:p>
        </w:tc>
        <w:tc>
          <w:tcPr>
            <w:tcW w:w="1170" w:type="dxa"/>
          </w:tcPr>
          <w:p w14:paraId="581836C6" w14:textId="77777777" w:rsidR="00872E34" w:rsidRPr="00E54D60" w:rsidRDefault="00872E34" w:rsidP="00714045">
            <w:pPr>
              <w:cnfStyle w:val="000000000000" w:firstRow="0" w:lastRow="0" w:firstColumn="0" w:lastColumn="0" w:oddVBand="0" w:evenVBand="0" w:oddHBand="0" w:evenHBand="0" w:firstRowFirstColumn="0" w:firstRowLastColumn="0" w:lastRowFirstColumn="0" w:lastRowLastColumn="0"/>
            </w:pPr>
            <w:r w:rsidRPr="00E54D60">
              <w:t>Īstenošanas</w:t>
            </w:r>
          </w:p>
        </w:tc>
        <w:tc>
          <w:tcPr>
            <w:tcW w:w="1440" w:type="dxa"/>
          </w:tcPr>
          <w:p w14:paraId="33FA335B" w14:textId="77777777" w:rsidR="00872E34" w:rsidRPr="00E54D60" w:rsidRDefault="00872E34" w:rsidP="00714045">
            <w:pPr>
              <w:cnfStyle w:val="000000000000" w:firstRow="0" w:lastRow="0" w:firstColumn="0" w:lastColumn="0" w:oddVBand="0" w:evenVBand="0" w:oddHBand="0" w:evenHBand="0" w:firstRowFirstColumn="0" w:firstRowLastColumn="0" w:lastRowFirstColumn="0" w:lastRowLastColumn="0"/>
            </w:pPr>
            <w:r w:rsidRPr="00E54D60">
              <w:t>Ārējo pakalpojumu sniedzēju līgumsaistību neizpilde</w:t>
            </w:r>
          </w:p>
        </w:tc>
        <w:tc>
          <w:tcPr>
            <w:tcW w:w="540" w:type="dxa"/>
            <w:textDirection w:val="btLr"/>
            <w:vAlign w:val="center"/>
          </w:tcPr>
          <w:p w14:paraId="2090F357" w14:textId="77777777" w:rsidR="00872E34" w:rsidRPr="00E54D60" w:rsidRDefault="00872E34" w:rsidP="002319D2">
            <w:pPr>
              <w:jc w:val="center"/>
              <w:cnfStyle w:val="000000000000" w:firstRow="0" w:lastRow="0" w:firstColumn="0" w:lastColumn="0" w:oddVBand="0" w:evenVBand="0" w:oddHBand="0" w:evenHBand="0" w:firstRowFirstColumn="0" w:firstRowLastColumn="0" w:lastRowFirstColumn="0" w:lastRowLastColumn="0"/>
            </w:pPr>
            <w:r>
              <w:t>Zema</w:t>
            </w:r>
          </w:p>
        </w:tc>
        <w:tc>
          <w:tcPr>
            <w:tcW w:w="900" w:type="dxa"/>
            <w:textDirection w:val="btLr"/>
            <w:vAlign w:val="center"/>
          </w:tcPr>
          <w:p w14:paraId="73D41CCE" w14:textId="77777777" w:rsidR="00872E34" w:rsidRPr="00E54D60" w:rsidRDefault="00872E34" w:rsidP="002319D2">
            <w:pPr>
              <w:jc w:val="center"/>
              <w:cnfStyle w:val="000000000000" w:firstRow="0" w:lastRow="0" w:firstColumn="0" w:lastColumn="0" w:oddVBand="0" w:evenVBand="0" w:oddHBand="0" w:evenHBand="0" w:firstRowFirstColumn="0" w:firstRowLastColumn="0" w:lastRowFirstColumn="0" w:lastRowLastColumn="0"/>
            </w:pPr>
            <w:r>
              <w:t>Vidēja</w:t>
            </w:r>
          </w:p>
        </w:tc>
        <w:tc>
          <w:tcPr>
            <w:tcW w:w="4500" w:type="dxa"/>
          </w:tcPr>
          <w:p w14:paraId="2B6200A0" w14:textId="77777777" w:rsidR="00872E34" w:rsidRDefault="00872E34" w:rsidP="00714045">
            <w:pPr>
              <w:cnfStyle w:val="000000000000" w:firstRow="0" w:lastRow="0" w:firstColumn="0" w:lastColumn="0" w:oddVBand="0" w:evenVBand="0" w:oddHBand="0" w:evenHBand="0" w:firstRowFirstColumn="0" w:firstRowLastColumn="0" w:lastRowFirstColumn="0" w:lastRowLastColumn="0"/>
            </w:pPr>
            <w:r w:rsidRPr="00B356E6">
              <w:rPr>
                <w:b/>
              </w:rPr>
              <w:t xml:space="preserve">Novēršana </w:t>
            </w:r>
            <w:r>
              <w:rPr>
                <w:b/>
              </w:rPr>
              <w:t>–</w:t>
            </w:r>
            <w:r w:rsidRPr="00B356E6">
              <w:rPr>
                <w:b/>
              </w:rPr>
              <w:t xml:space="preserve"> </w:t>
            </w:r>
            <w:r>
              <w:t>tas pats, kas iepriekšējā.</w:t>
            </w:r>
          </w:p>
          <w:p w14:paraId="69BEC247" w14:textId="77777777" w:rsidR="00872E34" w:rsidRPr="00B356E6" w:rsidRDefault="00872E34" w:rsidP="00714045">
            <w:pPr>
              <w:cnfStyle w:val="000000000000" w:firstRow="0" w:lastRow="0" w:firstColumn="0" w:lastColumn="0" w:oddVBand="0" w:evenVBand="0" w:oddHBand="0" w:evenHBand="0" w:firstRowFirstColumn="0" w:firstRowLastColumn="0" w:lastRowFirstColumn="0" w:lastRowLastColumn="0"/>
              <w:rPr>
                <w:b/>
              </w:rPr>
            </w:pPr>
            <w:r>
              <w:rPr>
                <w:b/>
              </w:rPr>
              <w:t>Ietekmes</w:t>
            </w:r>
            <w:r w:rsidRPr="00B356E6">
              <w:rPr>
                <w:b/>
              </w:rPr>
              <w:t xml:space="preserve"> mazināšana </w:t>
            </w:r>
            <w:r>
              <w:rPr>
                <w:b/>
              </w:rPr>
              <w:t>–</w:t>
            </w:r>
            <w:r w:rsidRPr="00B356E6">
              <w:rPr>
                <w:b/>
              </w:rPr>
              <w:t xml:space="preserve"> </w:t>
            </w:r>
            <w:r>
              <w:t>tas pats, kas iepriekšējā.</w:t>
            </w:r>
          </w:p>
        </w:tc>
      </w:tr>
      <w:tr w:rsidR="00872E34" w:rsidRPr="00E54D60" w14:paraId="11A965FA" w14:textId="77777777" w:rsidTr="002319D2">
        <w:trPr>
          <w:cantSplit/>
          <w:trHeight w:val="1134"/>
        </w:trPr>
        <w:tc>
          <w:tcPr>
            <w:cnfStyle w:val="001000000000" w:firstRow="0" w:lastRow="0" w:firstColumn="1" w:lastColumn="0" w:oddVBand="0" w:evenVBand="0" w:oddHBand="0" w:evenHBand="0" w:firstRowFirstColumn="0" w:firstRowLastColumn="0" w:lastRowFirstColumn="0" w:lastRowLastColumn="0"/>
            <w:tcW w:w="895" w:type="dxa"/>
          </w:tcPr>
          <w:p w14:paraId="0E85B69D" w14:textId="77777777" w:rsidR="00872E34" w:rsidRPr="00E54D60" w:rsidRDefault="00872E34" w:rsidP="00714045">
            <w:r>
              <w:lastRenderedPageBreak/>
              <w:t>2.2.</w:t>
            </w:r>
          </w:p>
        </w:tc>
        <w:tc>
          <w:tcPr>
            <w:tcW w:w="1170" w:type="dxa"/>
          </w:tcPr>
          <w:p w14:paraId="3ABB6792" w14:textId="77777777" w:rsidR="00872E34" w:rsidRPr="00E54D60" w:rsidRDefault="00872E34" w:rsidP="00714045">
            <w:pPr>
              <w:cnfStyle w:val="000000000000" w:firstRow="0" w:lastRow="0" w:firstColumn="0" w:lastColumn="0" w:oddVBand="0" w:evenVBand="0" w:oddHBand="0" w:evenHBand="0" w:firstRowFirstColumn="0" w:firstRowLastColumn="0" w:lastRowFirstColumn="0" w:lastRowLastColumn="0"/>
            </w:pPr>
            <w:r>
              <w:t>Īstenošanas</w:t>
            </w:r>
          </w:p>
        </w:tc>
        <w:tc>
          <w:tcPr>
            <w:tcW w:w="1440" w:type="dxa"/>
          </w:tcPr>
          <w:p w14:paraId="42813144" w14:textId="77777777" w:rsidR="00872E34" w:rsidRPr="00E54D60" w:rsidRDefault="00872E34" w:rsidP="00714045">
            <w:pPr>
              <w:cnfStyle w:val="000000000000" w:firstRow="0" w:lastRow="0" w:firstColumn="0" w:lastColumn="0" w:oddVBand="0" w:evenVBand="0" w:oddHBand="0" w:evenHBand="0" w:firstRowFirstColumn="0" w:firstRowLastColumn="0" w:lastRowFirstColumn="0" w:lastRowLastColumn="0"/>
            </w:pPr>
            <w:r>
              <w:t>Projektu realizētājs pētījumus nekomercializē</w:t>
            </w:r>
          </w:p>
        </w:tc>
        <w:tc>
          <w:tcPr>
            <w:tcW w:w="540" w:type="dxa"/>
            <w:textDirection w:val="btLr"/>
            <w:vAlign w:val="center"/>
          </w:tcPr>
          <w:p w14:paraId="714BE6C0" w14:textId="77777777" w:rsidR="00872E34" w:rsidRPr="00E54D60" w:rsidRDefault="00872E34" w:rsidP="002319D2">
            <w:pPr>
              <w:jc w:val="center"/>
              <w:cnfStyle w:val="000000000000" w:firstRow="0" w:lastRow="0" w:firstColumn="0" w:lastColumn="0" w:oddVBand="0" w:evenVBand="0" w:oddHBand="0" w:evenHBand="0" w:firstRowFirstColumn="0" w:firstRowLastColumn="0" w:lastRowFirstColumn="0" w:lastRowLastColumn="0"/>
            </w:pPr>
            <w:r>
              <w:t>Zema</w:t>
            </w:r>
          </w:p>
        </w:tc>
        <w:tc>
          <w:tcPr>
            <w:tcW w:w="900" w:type="dxa"/>
            <w:textDirection w:val="btLr"/>
            <w:vAlign w:val="center"/>
          </w:tcPr>
          <w:p w14:paraId="07E046EB" w14:textId="77777777" w:rsidR="00872E34" w:rsidRPr="00E54D60" w:rsidRDefault="00872E34" w:rsidP="002319D2">
            <w:pPr>
              <w:jc w:val="center"/>
              <w:cnfStyle w:val="000000000000" w:firstRow="0" w:lastRow="0" w:firstColumn="0" w:lastColumn="0" w:oddVBand="0" w:evenVBand="0" w:oddHBand="0" w:evenHBand="0" w:firstRowFirstColumn="0" w:firstRowLastColumn="0" w:lastRowFirstColumn="0" w:lastRowLastColumn="0"/>
            </w:pPr>
            <w:r>
              <w:t>Augsta</w:t>
            </w:r>
          </w:p>
        </w:tc>
        <w:tc>
          <w:tcPr>
            <w:tcW w:w="4500" w:type="dxa"/>
          </w:tcPr>
          <w:p w14:paraId="420D5FE4" w14:textId="77777777" w:rsidR="00872E34" w:rsidRDefault="00872E34" w:rsidP="00714045">
            <w:pPr>
              <w:cnfStyle w:val="000000000000" w:firstRow="0" w:lastRow="0" w:firstColumn="0" w:lastColumn="0" w:oddVBand="0" w:evenVBand="0" w:oddHBand="0" w:evenHBand="0" w:firstRowFirstColumn="0" w:firstRowLastColumn="0" w:lastRowFirstColumn="0" w:lastRowLastColumn="0"/>
            </w:pPr>
            <w:r>
              <w:rPr>
                <w:b/>
              </w:rPr>
              <w:t xml:space="preserve">Novēršana – </w:t>
            </w:r>
            <w:r w:rsidRPr="002520DA">
              <w:t>atla</w:t>
            </w:r>
            <w:r>
              <w:t>s</w:t>
            </w:r>
            <w:r w:rsidRPr="002520DA">
              <w:t>e</w:t>
            </w:r>
            <w:r>
              <w:t>s brīdī tiek priekšroka dota projektiem, kuru realizētāji atrodas tirgū un kuriem ir jaunu produktu palaišanas tirgū pieredze.</w:t>
            </w:r>
          </w:p>
          <w:p w14:paraId="1624825A" w14:textId="77777777" w:rsidR="00872E34" w:rsidRPr="00D80EB3" w:rsidRDefault="00872E34" w:rsidP="00714045">
            <w:pPr>
              <w:cnfStyle w:val="000000000000" w:firstRow="0" w:lastRow="0" w:firstColumn="0" w:lastColumn="0" w:oddVBand="0" w:evenVBand="0" w:oddHBand="0" w:evenHBand="0" w:firstRowFirstColumn="0" w:firstRowLastColumn="0" w:lastRowFirstColumn="0" w:lastRowLastColumn="0"/>
              <w:rPr>
                <w:b/>
              </w:rPr>
            </w:pPr>
            <w:r w:rsidRPr="00CE2B10">
              <w:rPr>
                <w:b/>
              </w:rPr>
              <w:t>Ietekmes mazināšana</w:t>
            </w:r>
            <w:r>
              <w:t xml:space="preserve"> – regulārs projektu monitorings, finansējumu pārvirzot no projektiem, kuros nav pārliecības par projekta realizāciju uz projektiem, kuros šāda pārliecība veidojas.</w:t>
            </w:r>
          </w:p>
        </w:tc>
      </w:tr>
      <w:tr w:rsidR="00960B87" w:rsidRPr="00E54D60" w14:paraId="24A97030" w14:textId="77777777" w:rsidTr="002319D2">
        <w:trPr>
          <w:cantSplit/>
          <w:trHeight w:val="1134"/>
        </w:trPr>
        <w:tc>
          <w:tcPr>
            <w:cnfStyle w:val="001000000000" w:firstRow="0" w:lastRow="0" w:firstColumn="1" w:lastColumn="0" w:oddVBand="0" w:evenVBand="0" w:oddHBand="0" w:evenHBand="0" w:firstRowFirstColumn="0" w:firstRowLastColumn="0" w:lastRowFirstColumn="0" w:lastRowLastColumn="0"/>
            <w:tcW w:w="895" w:type="dxa"/>
          </w:tcPr>
          <w:p w14:paraId="0474A43A" w14:textId="36E3D94A" w:rsidR="00960B87" w:rsidRDefault="00960B87" w:rsidP="00714045">
            <w:r>
              <w:t>2.3.</w:t>
            </w:r>
          </w:p>
        </w:tc>
        <w:tc>
          <w:tcPr>
            <w:tcW w:w="1170" w:type="dxa"/>
          </w:tcPr>
          <w:p w14:paraId="09CCF195" w14:textId="5E13B7A2" w:rsidR="00960B87" w:rsidRDefault="00960B87" w:rsidP="00714045">
            <w:pPr>
              <w:cnfStyle w:val="000000000000" w:firstRow="0" w:lastRow="0" w:firstColumn="0" w:lastColumn="0" w:oddVBand="0" w:evenVBand="0" w:oddHBand="0" w:evenHBand="0" w:firstRowFirstColumn="0" w:firstRowLastColumn="0" w:lastRowFirstColumn="0" w:lastRowLastColumn="0"/>
            </w:pPr>
            <w:r>
              <w:t xml:space="preserve">Īstenošanas </w:t>
            </w:r>
          </w:p>
        </w:tc>
        <w:tc>
          <w:tcPr>
            <w:tcW w:w="1440" w:type="dxa"/>
          </w:tcPr>
          <w:p w14:paraId="165C9090" w14:textId="3578B431" w:rsidR="00960B87" w:rsidRDefault="00960B87" w:rsidP="00714045">
            <w:pPr>
              <w:cnfStyle w:val="000000000000" w:firstRow="0" w:lastRow="0" w:firstColumn="0" w:lastColumn="0" w:oddVBand="0" w:evenVBand="0" w:oddHBand="0" w:evenHBand="0" w:firstRowFirstColumn="0" w:firstRowLastColumn="0" w:lastRowFirstColumn="0" w:lastRowLastColumn="0"/>
            </w:pPr>
            <w:r w:rsidRPr="007B4A2E">
              <w:t>Projektu realizētāj</w:t>
            </w:r>
            <w:r>
              <w:t xml:space="preserve">a maksātnespēja </w:t>
            </w:r>
          </w:p>
        </w:tc>
        <w:tc>
          <w:tcPr>
            <w:tcW w:w="540" w:type="dxa"/>
            <w:textDirection w:val="btLr"/>
            <w:vAlign w:val="center"/>
          </w:tcPr>
          <w:p w14:paraId="782296F6" w14:textId="46C2FB56" w:rsidR="00960B87" w:rsidRDefault="00960B87" w:rsidP="002319D2">
            <w:pPr>
              <w:jc w:val="center"/>
              <w:cnfStyle w:val="000000000000" w:firstRow="0" w:lastRow="0" w:firstColumn="0" w:lastColumn="0" w:oddVBand="0" w:evenVBand="0" w:oddHBand="0" w:evenHBand="0" w:firstRowFirstColumn="0" w:firstRowLastColumn="0" w:lastRowFirstColumn="0" w:lastRowLastColumn="0"/>
            </w:pPr>
            <w:r>
              <w:t>Augsta</w:t>
            </w:r>
          </w:p>
        </w:tc>
        <w:tc>
          <w:tcPr>
            <w:tcW w:w="900" w:type="dxa"/>
            <w:textDirection w:val="btLr"/>
            <w:vAlign w:val="center"/>
          </w:tcPr>
          <w:p w14:paraId="6206537A" w14:textId="5487925E" w:rsidR="00960B87" w:rsidRDefault="00960B87" w:rsidP="002319D2">
            <w:pPr>
              <w:jc w:val="center"/>
              <w:cnfStyle w:val="000000000000" w:firstRow="0" w:lastRow="0" w:firstColumn="0" w:lastColumn="0" w:oddVBand="0" w:evenVBand="0" w:oddHBand="0" w:evenHBand="0" w:firstRowFirstColumn="0" w:firstRowLastColumn="0" w:lastRowFirstColumn="0" w:lastRowLastColumn="0"/>
            </w:pPr>
            <w:r>
              <w:t>Zema</w:t>
            </w:r>
          </w:p>
        </w:tc>
        <w:tc>
          <w:tcPr>
            <w:tcW w:w="4500" w:type="dxa"/>
          </w:tcPr>
          <w:p w14:paraId="7088005C" w14:textId="77777777" w:rsidR="00960B87" w:rsidRDefault="00960B87" w:rsidP="00714045">
            <w:pPr>
              <w:keepLines w:val="0"/>
              <w:spacing w:before="0"/>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b/>
              </w:rPr>
              <w:t xml:space="preserve">Novēršana – </w:t>
            </w:r>
            <w:r w:rsidRPr="00B661B2">
              <w:t xml:space="preserve">atlases brīdī </w:t>
            </w:r>
            <w:r>
              <w:t xml:space="preserve">šaubu gadījumā </w:t>
            </w:r>
            <w:r w:rsidRPr="00B661B2">
              <w:t>tiek veikta uzņēmuma finanšu rādītāju, tā īpašnieku un vadītāju iepriekšēj</w:t>
            </w:r>
            <w:r>
              <w:t xml:space="preserve">ās darbības pieredze, </w:t>
            </w:r>
            <w:r>
              <w:rPr>
                <w:rFonts w:ascii="Calibri" w:hAnsi="Calibri" w:cs="Calibri"/>
                <w:color w:val="000000"/>
              </w:rPr>
              <w:t>izvērtējot publiskajos reģistros un publiskajos avotos pieejamos datus par sekojošo:</w:t>
            </w:r>
          </w:p>
          <w:p w14:paraId="2C82BADD" w14:textId="77777777" w:rsidR="00960B87" w:rsidRPr="002319D2" w:rsidRDefault="00960B87" w:rsidP="006F31C1">
            <w:pPr>
              <w:pStyle w:val="ListParagraph"/>
              <w:keepLines w:val="0"/>
              <w:numPr>
                <w:ilvl w:val="0"/>
                <w:numId w:val="19"/>
              </w:numPr>
              <w:shd w:val="clear" w:color="auto" w:fill="auto"/>
              <w:tabs>
                <w:tab w:val="clear" w:pos="720"/>
              </w:tabs>
              <w:spacing w:before="0" w:after="0"/>
              <w:ind w:left="434"/>
              <w:jc w:val="left"/>
              <w:cnfStyle w:val="000000000000" w:firstRow="0" w:lastRow="0" w:firstColumn="0" w:lastColumn="0" w:oddVBand="0" w:evenVBand="0" w:oddHBand="0" w:evenHBand="0" w:firstRowFirstColumn="0" w:firstRowLastColumn="0" w:lastRowFirstColumn="0" w:lastRowLastColumn="0"/>
            </w:pPr>
            <w:r w:rsidRPr="009D366C">
              <w:rPr>
                <w:rFonts w:ascii="Calibri" w:hAnsi="Calibri" w:cs="Calibri"/>
                <w:color w:val="000000"/>
              </w:rPr>
              <w:t xml:space="preserve">uzņēmuma/projekta pieteicēja un to īpašnieku saistību izpildes vēsturi, </w:t>
            </w:r>
          </w:p>
          <w:p w14:paraId="2E478A6D" w14:textId="77777777" w:rsidR="00960B87" w:rsidRPr="002319D2" w:rsidRDefault="00960B87" w:rsidP="006F31C1">
            <w:pPr>
              <w:pStyle w:val="ListParagraph"/>
              <w:keepLines w:val="0"/>
              <w:numPr>
                <w:ilvl w:val="0"/>
                <w:numId w:val="19"/>
              </w:numPr>
              <w:shd w:val="clear" w:color="auto" w:fill="auto"/>
              <w:tabs>
                <w:tab w:val="clear" w:pos="720"/>
              </w:tabs>
              <w:spacing w:before="0" w:after="0"/>
              <w:ind w:left="434"/>
              <w:jc w:val="left"/>
              <w:cnfStyle w:val="000000000000" w:firstRow="0" w:lastRow="0" w:firstColumn="0" w:lastColumn="0" w:oddVBand="0" w:evenVBand="0" w:oddHBand="0" w:evenHBand="0" w:firstRowFirstColumn="0" w:firstRowLastColumn="0" w:lastRowFirstColumn="0" w:lastRowLastColumn="0"/>
            </w:pPr>
            <w:r w:rsidRPr="009D366C">
              <w:rPr>
                <w:rFonts w:ascii="Calibri" w:hAnsi="Calibri" w:cs="Calibri"/>
                <w:color w:val="000000"/>
              </w:rPr>
              <w:t>nodokļu nomaksas</w:t>
            </w:r>
            <w:r>
              <w:rPr>
                <w:rFonts w:ascii="Calibri" w:hAnsi="Calibri" w:cs="Calibri"/>
                <w:color w:val="000000"/>
              </w:rPr>
              <w:t xml:space="preserve"> disciplīnas vēsturi, vērtējot informāciju par uzņēmuma un ar tā labuma guvējiem saistīto uzņēmumu nodokļu nomaksas lietas</w:t>
            </w:r>
            <w:r w:rsidRPr="00B661B2">
              <w:rPr>
                <w:rFonts w:ascii="Calibri" w:hAnsi="Calibri" w:cs="Calibri"/>
                <w:color w:val="000000"/>
              </w:rPr>
              <w:t>,</w:t>
            </w:r>
            <w:r>
              <w:rPr>
                <w:rFonts w:ascii="Calibri" w:hAnsi="Calibri" w:cs="Calibri"/>
                <w:color w:val="000000"/>
              </w:rPr>
              <w:t xml:space="preserve"> </w:t>
            </w:r>
            <w:r w:rsidRPr="00DC3015">
              <w:rPr>
                <w:rFonts w:ascii="Calibri" w:hAnsi="Calibri" w:cs="Calibri"/>
                <w:color w:val="000000"/>
              </w:rPr>
              <w:t>iepriekšējo projektu saistību izpildes vēsturi gan uzņēmumā gan ar galveno akcionāru vai tiešo un netiešo labuma guvēju saistītiem uzņēmumiem.</w:t>
            </w:r>
          </w:p>
          <w:p w14:paraId="27BD4FC1" w14:textId="387F9234" w:rsidR="00960B87" w:rsidRDefault="00960B87" w:rsidP="00714045">
            <w:pPr>
              <w:cnfStyle w:val="000000000000" w:firstRow="0" w:lastRow="0" w:firstColumn="0" w:lastColumn="0" w:oddVBand="0" w:evenVBand="0" w:oddHBand="0" w:evenHBand="0" w:firstRowFirstColumn="0" w:firstRowLastColumn="0" w:lastRowFirstColumn="0" w:lastRowLastColumn="0"/>
              <w:rPr>
                <w:b/>
              </w:rPr>
            </w:pPr>
            <w:r w:rsidRPr="007B4A2E">
              <w:rPr>
                <w:b/>
              </w:rPr>
              <w:t>Ietekmes mazināšana</w:t>
            </w:r>
            <w:r w:rsidRPr="007B4A2E">
              <w:t xml:space="preserve"> – regulārs projektu monitorings</w:t>
            </w:r>
            <w:r w:rsidR="0092207E">
              <w:t>.</w:t>
            </w:r>
          </w:p>
        </w:tc>
      </w:tr>
      <w:tr w:rsidR="00960B87" w:rsidRPr="00E54D60" w14:paraId="1EE5EE09" w14:textId="77777777" w:rsidTr="002319D2">
        <w:trPr>
          <w:cantSplit/>
          <w:trHeight w:val="1134"/>
        </w:trPr>
        <w:tc>
          <w:tcPr>
            <w:cnfStyle w:val="001000000000" w:firstRow="0" w:lastRow="0" w:firstColumn="1" w:lastColumn="0" w:oddVBand="0" w:evenVBand="0" w:oddHBand="0" w:evenHBand="0" w:firstRowFirstColumn="0" w:firstRowLastColumn="0" w:lastRowFirstColumn="0" w:lastRowLastColumn="0"/>
            <w:tcW w:w="895" w:type="dxa"/>
          </w:tcPr>
          <w:p w14:paraId="0F43E0B7" w14:textId="63F3478F" w:rsidR="00960B87" w:rsidRDefault="00960B87" w:rsidP="00714045">
            <w:r w:rsidRPr="0011441F">
              <w:t xml:space="preserve">2.4. </w:t>
            </w:r>
          </w:p>
        </w:tc>
        <w:tc>
          <w:tcPr>
            <w:tcW w:w="1170" w:type="dxa"/>
          </w:tcPr>
          <w:p w14:paraId="3A1083DA" w14:textId="070D2F0A" w:rsidR="00960B87" w:rsidRDefault="00960B87" w:rsidP="00714045">
            <w:pPr>
              <w:cnfStyle w:val="000000000000" w:firstRow="0" w:lastRow="0" w:firstColumn="0" w:lastColumn="0" w:oddVBand="0" w:evenVBand="0" w:oddHBand="0" w:evenHBand="0" w:firstRowFirstColumn="0" w:firstRowLastColumn="0" w:lastRowFirstColumn="0" w:lastRowLastColumn="0"/>
            </w:pPr>
            <w:r>
              <w:t xml:space="preserve">Īstenošanas </w:t>
            </w:r>
          </w:p>
        </w:tc>
        <w:tc>
          <w:tcPr>
            <w:tcW w:w="1440" w:type="dxa"/>
          </w:tcPr>
          <w:p w14:paraId="269F24F4" w14:textId="1FD2504D" w:rsidR="00960B87" w:rsidRDefault="00960B87" w:rsidP="00714045">
            <w:pPr>
              <w:cnfStyle w:val="000000000000" w:firstRow="0" w:lastRow="0" w:firstColumn="0" w:lastColumn="0" w:oddVBand="0" w:evenVBand="0" w:oddHBand="0" w:evenHBand="0" w:firstRowFirstColumn="0" w:firstRowLastColumn="0" w:lastRowFirstColumn="0" w:lastRowLastColumn="0"/>
            </w:pPr>
            <w:r>
              <w:t>Starpnozaru un/vai starptautiskās sadarbības projektu īstenotājiem rodas konflikts projekta īstenošanas gaita</w:t>
            </w:r>
          </w:p>
        </w:tc>
        <w:tc>
          <w:tcPr>
            <w:tcW w:w="540" w:type="dxa"/>
            <w:textDirection w:val="btLr"/>
            <w:vAlign w:val="center"/>
          </w:tcPr>
          <w:p w14:paraId="4259678D" w14:textId="6C6C9FE8" w:rsidR="00960B87" w:rsidRDefault="00960B87" w:rsidP="002319D2">
            <w:pPr>
              <w:jc w:val="center"/>
              <w:cnfStyle w:val="000000000000" w:firstRow="0" w:lastRow="0" w:firstColumn="0" w:lastColumn="0" w:oddVBand="0" w:evenVBand="0" w:oddHBand="0" w:evenHBand="0" w:firstRowFirstColumn="0" w:firstRowLastColumn="0" w:lastRowFirstColumn="0" w:lastRowLastColumn="0"/>
            </w:pPr>
            <w:r>
              <w:t>Zema</w:t>
            </w:r>
          </w:p>
        </w:tc>
        <w:tc>
          <w:tcPr>
            <w:tcW w:w="900" w:type="dxa"/>
            <w:textDirection w:val="btLr"/>
            <w:vAlign w:val="center"/>
          </w:tcPr>
          <w:p w14:paraId="7AE66DED" w14:textId="3F501881" w:rsidR="00960B87" w:rsidRDefault="00960B87" w:rsidP="002319D2">
            <w:pPr>
              <w:jc w:val="center"/>
              <w:cnfStyle w:val="000000000000" w:firstRow="0" w:lastRow="0" w:firstColumn="0" w:lastColumn="0" w:oddVBand="0" w:evenVBand="0" w:oddHBand="0" w:evenHBand="0" w:firstRowFirstColumn="0" w:firstRowLastColumn="0" w:lastRowFirstColumn="0" w:lastRowLastColumn="0"/>
            </w:pPr>
            <w:r>
              <w:t>Zema</w:t>
            </w:r>
          </w:p>
        </w:tc>
        <w:tc>
          <w:tcPr>
            <w:tcW w:w="4500" w:type="dxa"/>
          </w:tcPr>
          <w:p w14:paraId="15AD15BA" w14:textId="77777777" w:rsidR="00960B87" w:rsidRPr="00617064" w:rsidRDefault="00960B87" w:rsidP="00714045">
            <w:pPr>
              <w:spacing w:before="0"/>
              <w:cnfStyle w:val="000000000000" w:firstRow="0" w:lastRow="0" w:firstColumn="0" w:lastColumn="0" w:oddVBand="0" w:evenVBand="0" w:oddHBand="0" w:evenHBand="0" w:firstRowFirstColumn="0" w:firstRowLastColumn="0" w:lastRowFirstColumn="0" w:lastRowLastColumn="0"/>
            </w:pPr>
            <w:r>
              <w:rPr>
                <w:b/>
              </w:rPr>
              <w:t xml:space="preserve">Novēršana – </w:t>
            </w:r>
            <w:r w:rsidRPr="00617064">
              <w:t xml:space="preserve">atlases brīdī </w:t>
            </w:r>
            <w:r>
              <w:t>priekšroka tiek dota projektiem, kas ir veikuši iepriekšējas darbības, lai vienotos par savstarpējiem sadarbības nosacījumiem un sadarbības aktivitāšu izpildes sadali projektā, ievērojot konkrētus starpnozaru projektu ietvarus</w:t>
            </w:r>
          </w:p>
          <w:p w14:paraId="2C2739BE" w14:textId="77777777" w:rsidR="00960B87" w:rsidRDefault="00960B87" w:rsidP="00714045">
            <w:pPr>
              <w:spacing w:before="0"/>
              <w:cnfStyle w:val="000000000000" w:firstRow="0" w:lastRow="0" w:firstColumn="0" w:lastColumn="0" w:oddVBand="0" w:evenVBand="0" w:oddHBand="0" w:evenHBand="0" w:firstRowFirstColumn="0" w:firstRowLastColumn="0" w:lastRowFirstColumn="0" w:lastRowLastColumn="0"/>
              <w:rPr>
                <w:b/>
              </w:rPr>
            </w:pPr>
          </w:p>
          <w:p w14:paraId="751417E7" w14:textId="07DF912B" w:rsidR="00960B87" w:rsidRDefault="00960B87" w:rsidP="00714045">
            <w:pPr>
              <w:cnfStyle w:val="000000000000" w:firstRow="0" w:lastRow="0" w:firstColumn="0" w:lastColumn="0" w:oddVBand="0" w:evenVBand="0" w:oddHBand="0" w:evenHBand="0" w:firstRowFirstColumn="0" w:firstRowLastColumn="0" w:lastRowFirstColumn="0" w:lastRowLastColumn="0"/>
              <w:rPr>
                <w:b/>
              </w:rPr>
            </w:pPr>
            <w:r w:rsidRPr="007B4A2E">
              <w:rPr>
                <w:b/>
              </w:rPr>
              <w:t>Ietekmes mazināšana</w:t>
            </w:r>
            <w:r w:rsidRPr="007B4A2E">
              <w:t xml:space="preserve"> – regulārs projektu monitorings</w:t>
            </w:r>
            <w:r>
              <w:t>, detektējot jebkāda veida potenciālos sadarbības riskus starp partneri</w:t>
            </w:r>
            <w:r w:rsidR="0054652C">
              <w:t>e</w:t>
            </w:r>
            <w:r>
              <w:t xml:space="preserve">m un nekavējoties konsultējoties ar </w:t>
            </w:r>
            <w:r w:rsidR="00994019">
              <w:t>CFLA</w:t>
            </w:r>
            <w:r>
              <w:t xml:space="preserve"> par riska novēršanu, ja tas tomēr </w:t>
            </w:r>
            <w:r w:rsidR="0054652C">
              <w:t>piepildās</w:t>
            </w:r>
          </w:p>
        </w:tc>
      </w:tr>
      <w:tr w:rsidR="00960B87" w:rsidRPr="00E54D60" w14:paraId="6425656A" w14:textId="77777777" w:rsidTr="002319D2">
        <w:trPr>
          <w:cantSplit/>
          <w:trHeight w:val="1134"/>
        </w:trPr>
        <w:tc>
          <w:tcPr>
            <w:cnfStyle w:val="001000000000" w:firstRow="0" w:lastRow="0" w:firstColumn="1" w:lastColumn="0" w:oddVBand="0" w:evenVBand="0" w:oddHBand="0" w:evenHBand="0" w:firstRowFirstColumn="0" w:firstRowLastColumn="0" w:lastRowFirstColumn="0" w:lastRowLastColumn="0"/>
            <w:tcW w:w="895" w:type="dxa"/>
          </w:tcPr>
          <w:p w14:paraId="2AB9F2E6" w14:textId="77777777" w:rsidR="00960B87" w:rsidRPr="00E54D60" w:rsidRDefault="00960B87" w:rsidP="00714045">
            <w:r w:rsidRPr="00E54D60">
              <w:lastRenderedPageBreak/>
              <w:t>3.</w:t>
            </w:r>
          </w:p>
        </w:tc>
        <w:tc>
          <w:tcPr>
            <w:tcW w:w="1170" w:type="dxa"/>
          </w:tcPr>
          <w:p w14:paraId="3AA83B8B" w14:textId="77777777" w:rsidR="00960B87" w:rsidRPr="00E54D60" w:rsidRDefault="00960B87" w:rsidP="00714045">
            <w:pPr>
              <w:cnfStyle w:val="000000000000" w:firstRow="0" w:lastRow="0" w:firstColumn="0" w:lastColumn="0" w:oddVBand="0" w:evenVBand="0" w:oddHBand="0" w:evenHBand="0" w:firstRowFirstColumn="0" w:firstRowLastColumn="0" w:lastRowFirstColumn="0" w:lastRowLastColumn="0"/>
            </w:pPr>
            <w:r w:rsidRPr="00E54D60">
              <w:t>Rezultātu un uzraudzības rādītāju sasniegšanas</w:t>
            </w:r>
          </w:p>
        </w:tc>
        <w:tc>
          <w:tcPr>
            <w:tcW w:w="1440" w:type="dxa"/>
          </w:tcPr>
          <w:p w14:paraId="6301231A" w14:textId="77777777" w:rsidR="00960B87" w:rsidRPr="00E54D60" w:rsidRDefault="00960B87" w:rsidP="00714045">
            <w:pPr>
              <w:cnfStyle w:val="000000000000" w:firstRow="0" w:lastRow="0" w:firstColumn="0" w:lastColumn="0" w:oddVBand="0" w:evenVBand="0" w:oddHBand="0" w:evenHBand="0" w:firstRowFirstColumn="0" w:firstRowLastColumn="0" w:lastRowFirstColumn="0" w:lastRowLastColumn="0"/>
            </w:pPr>
            <w:r w:rsidRPr="00E54D60">
              <w:t xml:space="preserve">Negatīvi atsevišķu pētījumu projektu rezultāti </w:t>
            </w:r>
          </w:p>
        </w:tc>
        <w:tc>
          <w:tcPr>
            <w:tcW w:w="540" w:type="dxa"/>
            <w:textDirection w:val="btLr"/>
            <w:vAlign w:val="center"/>
          </w:tcPr>
          <w:p w14:paraId="3DAC93F5" w14:textId="77777777" w:rsidR="00960B87" w:rsidRPr="00E54D60" w:rsidRDefault="00960B87" w:rsidP="002319D2">
            <w:pPr>
              <w:jc w:val="center"/>
              <w:cnfStyle w:val="000000000000" w:firstRow="0" w:lastRow="0" w:firstColumn="0" w:lastColumn="0" w:oddVBand="0" w:evenVBand="0" w:oddHBand="0" w:evenHBand="0" w:firstRowFirstColumn="0" w:firstRowLastColumn="0" w:lastRowFirstColumn="0" w:lastRowLastColumn="0"/>
            </w:pPr>
            <w:r w:rsidRPr="00E54D60">
              <w:t>Zema</w:t>
            </w:r>
          </w:p>
        </w:tc>
        <w:tc>
          <w:tcPr>
            <w:tcW w:w="900" w:type="dxa"/>
            <w:textDirection w:val="btLr"/>
            <w:vAlign w:val="center"/>
          </w:tcPr>
          <w:p w14:paraId="20B4ECFB" w14:textId="77777777" w:rsidR="00960B87" w:rsidRPr="00E54D60" w:rsidRDefault="00960B87" w:rsidP="002319D2">
            <w:pPr>
              <w:jc w:val="center"/>
              <w:cnfStyle w:val="000000000000" w:firstRow="0" w:lastRow="0" w:firstColumn="0" w:lastColumn="0" w:oddVBand="0" w:evenVBand="0" w:oddHBand="0" w:evenHBand="0" w:firstRowFirstColumn="0" w:firstRowLastColumn="0" w:lastRowFirstColumn="0" w:lastRowLastColumn="0"/>
            </w:pPr>
            <w:r w:rsidRPr="00E54D60">
              <w:t>Augsta</w:t>
            </w:r>
          </w:p>
        </w:tc>
        <w:tc>
          <w:tcPr>
            <w:tcW w:w="4500" w:type="dxa"/>
          </w:tcPr>
          <w:p w14:paraId="57F41DE4" w14:textId="77777777" w:rsidR="00960B87" w:rsidRDefault="00960B87" w:rsidP="00714045">
            <w:pPr>
              <w:cnfStyle w:val="000000000000" w:firstRow="0" w:lastRow="0" w:firstColumn="0" w:lastColumn="0" w:oddVBand="0" w:evenVBand="0" w:oddHBand="0" w:evenHBand="0" w:firstRowFirstColumn="0" w:firstRowLastColumn="0" w:lastRowFirstColumn="0" w:lastRowLastColumn="0"/>
            </w:pPr>
            <w:r w:rsidRPr="00D80EB3">
              <w:rPr>
                <w:b/>
              </w:rPr>
              <w:t>Novēršana -</w:t>
            </w:r>
            <w:r>
              <w:t xml:space="preserve"> </w:t>
            </w:r>
            <w:r w:rsidRPr="00E54D60">
              <w:t xml:space="preserve">Projektu atlases un uzraudzības padome izvērtē pētījumos definēto starprezultātu sasniegšanu pētījumu gaitā. </w:t>
            </w:r>
          </w:p>
          <w:p w14:paraId="4B2BA352" w14:textId="77777777" w:rsidR="00960B87" w:rsidRPr="00E54D60" w:rsidRDefault="00960B87" w:rsidP="00714045">
            <w:pPr>
              <w:cnfStyle w:val="000000000000" w:firstRow="0" w:lastRow="0" w:firstColumn="0" w:lastColumn="0" w:oddVBand="0" w:evenVBand="0" w:oddHBand="0" w:evenHBand="0" w:firstRowFirstColumn="0" w:firstRowLastColumn="0" w:lastRowFirstColumn="0" w:lastRowLastColumn="0"/>
            </w:pPr>
            <w:r>
              <w:rPr>
                <w:b/>
              </w:rPr>
              <w:t xml:space="preserve">Ietekmes </w:t>
            </w:r>
            <w:r w:rsidRPr="00CE2B10">
              <w:rPr>
                <w:b/>
              </w:rPr>
              <w:t>mazināšana</w:t>
            </w:r>
            <w:r>
              <w:t xml:space="preserve"> </w:t>
            </w:r>
            <w:r w:rsidRPr="00D80EB3">
              <w:rPr>
                <w:b/>
              </w:rPr>
              <w:t>-</w:t>
            </w:r>
            <w:r>
              <w:t xml:space="preserve"> </w:t>
            </w:r>
            <w:r w:rsidRPr="00E54D60">
              <w:t>Ja tiek identificēts, ka pētījuma gaita nenotiek saskaņā ar plānu, un veiktie darbi nerada plānotos rezultātus un nav pārliecības, ka pētījumu īstenotājiem ir skaidrs plāns, kā sasniegt plānotos rezultātus, projekts tiek p</w:t>
            </w:r>
            <w:r>
              <w:t xml:space="preserve">ārtraukts ar negatīvu rezultātu </w:t>
            </w:r>
            <w:r w:rsidRPr="00E54D60">
              <w:t>un finansējums novirzīt</w:t>
            </w:r>
            <w:r>
              <w:t>s citiem pētniecības projektiem.</w:t>
            </w:r>
          </w:p>
        </w:tc>
      </w:tr>
      <w:tr w:rsidR="00960B87" w:rsidRPr="00E54D60" w14:paraId="6A49908A" w14:textId="77777777" w:rsidTr="002319D2">
        <w:trPr>
          <w:cantSplit/>
          <w:trHeight w:val="1134"/>
        </w:trPr>
        <w:tc>
          <w:tcPr>
            <w:cnfStyle w:val="001000000000" w:firstRow="0" w:lastRow="0" w:firstColumn="1" w:lastColumn="0" w:oddVBand="0" w:evenVBand="0" w:oddHBand="0" w:evenHBand="0" w:firstRowFirstColumn="0" w:firstRowLastColumn="0" w:lastRowFirstColumn="0" w:lastRowLastColumn="0"/>
            <w:tcW w:w="895" w:type="dxa"/>
          </w:tcPr>
          <w:p w14:paraId="09B0918A" w14:textId="77777777" w:rsidR="00960B87" w:rsidRPr="00E54D60" w:rsidRDefault="00960B87" w:rsidP="00714045">
            <w:r>
              <w:t>3.1.</w:t>
            </w:r>
          </w:p>
        </w:tc>
        <w:tc>
          <w:tcPr>
            <w:tcW w:w="1170" w:type="dxa"/>
          </w:tcPr>
          <w:p w14:paraId="55CC228A" w14:textId="77777777" w:rsidR="00960B87" w:rsidRPr="00E54D60" w:rsidRDefault="00960B87" w:rsidP="00714045">
            <w:pPr>
              <w:cnfStyle w:val="000000000000" w:firstRow="0" w:lastRow="0" w:firstColumn="0" w:lastColumn="0" w:oddVBand="0" w:evenVBand="0" w:oddHBand="0" w:evenHBand="0" w:firstRowFirstColumn="0" w:firstRowLastColumn="0" w:lastRowFirstColumn="0" w:lastRowLastColumn="0"/>
            </w:pPr>
            <w:r w:rsidRPr="00E54D60">
              <w:t>Rezultātu un uzraudzības rādītāju sasniegšanas</w:t>
            </w:r>
          </w:p>
        </w:tc>
        <w:tc>
          <w:tcPr>
            <w:tcW w:w="1440" w:type="dxa"/>
          </w:tcPr>
          <w:p w14:paraId="1355E5F2" w14:textId="77777777" w:rsidR="00960B87" w:rsidRPr="00E54D60" w:rsidRDefault="00960B87" w:rsidP="00714045">
            <w:pPr>
              <w:cnfStyle w:val="000000000000" w:firstRow="0" w:lastRow="0" w:firstColumn="0" w:lastColumn="0" w:oddVBand="0" w:evenVBand="0" w:oddHBand="0" w:evenHBand="0" w:firstRowFirstColumn="0" w:firstRowLastColumn="0" w:lastRowFirstColumn="0" w:lastRowLastColumn="0"/>
            </w:pPr>
            <w:r w:rsidRPr="00E54D60">
              <w:t>Zema nozares komersantu interese par projekta īstenošanu</w:t>
            </w:r>
          </w:p>
        </w:tc>
        <w:tc>
          <w:tcPr>
            <w:tcW w:w="540" w:type="dxa"/>
            <w:textDirection w:val="btLr"/>
            <w:vAlign w:val="center"/>
          </w:tcPr>
          <w:p w14:paraId="61633846" w14:textId="77777777" w:rsidR="00960B87" w:rsidRPr="00E54D60" w:rsidRDefault="00960B87" w:rsidP="002319D2">
            <w:pPr>
              <w:jc w:val="center"/>
              <w:cnfStyle w:val="000000000000" w:firstRow="0" w:lastRow="0" w:firstColumn="0" w:lastColumn="0" w:oddVBand="0" w:evenVBand="0" w:oddHBand="0" w:evenHBand="0" w:firstRowFirstColumn="0" w:firstRowLastColumn="0" w:lastRowFirstColumn="0" w:lastRowLastColumn="0"/>
            </w:pPr>
            <w:r>
              <w:t>Zema</w:t>
            </w:r>
          </w:p>
        </w:tc>
        <w:tc>
          <w:tcPr>
            <w:tcW w:w="900" w:type="dxa"/>
            <w:textDirection w:val="btLr"/>
            <w:vAlign w:val="center"/>
          </w:tcPr>
          <w:p w14:paraId="3672BA95" w14:textId="77777777" w:rsidR="00960B87" w:rsidRPr="00E54D60" w:rsidRDefault="00960B87" w:rsidP="002319D2">
            <w:pPr>
              <w:jc w:val="center"/>
              <w:cnfStyle w:val="000000000000" w:firstRow="0" w:lastRow="0" w:firstColumn="0" w:lastColumn="0" w:oddVBand="0" w:evenVBand="0" w:oddHBand="0" w:evenHBand="0" w:firstRowFirstColumn="0" w:firstRowLastColumn="0" w:lastRowFirstColumn="0" w:lastRowLastColumn="0"/>
            </w:pPr>
            <w:r w:rsidRPr="00E54D60">
              <w:t>Zema</w:t>
            </w:r>
          </w:p>
        </w:tc>
        <w:tc>
          <w:tcPr>
            <w:tcW w:w="4500" w:type="dxa"/>
          </w:tcPr>
          <w:p w14:paraId="6A6CC835" w14:textId="77777777" w:rsidR="00960B87" w:rsidRPr="00E54D60" w:rsidRDefault="00960B87" w:rsidP="00714045">
            <w:pPr>
              <w:cnfStyle w:val="000000000000" w:firstRow="0" w:lastRow="0" w:firstColumn="0" w:lastColumn="0" w:oddVBand="0" w:evenVBand="0" w:oddHBand="0" w:evenHBand="0" w:firstRowFirstColumn="0" w:firstRowLastColumn="0" w:lastRowFirstColumn="0" w:lastRowLastColumn="0"/>
            </w:pPr>
            <w:r>
              <w:t>Kompetences centra veidošanas gaitā ir augsta komersantu interese un potenciālo projektu apjoms pārsniedz pieejamā finansējuma apjomu</w:t>
            </w:r>
          </w:p>
        </w:tc>
      </w:tr>
      <w:tr w:rsidR="00960B87" w:rsidRPr="00E54D60" w14:paraId="114D2D11" w14:textId="77777777" w:rsidTr="002319D2">
        <w:trPr>
          <w:cantSplit/>
          <w:trHeight w:val="1134"/>
        </w:trPr>
        <w:tc>
          <w:tcPr>
            <w:cnfStyle w:val="001000000000" w:firstRow="0" w:lastRow="0" w:firstColumn="1" w:lastColumn="0" w:oddVBand="0" w:evenVBand="0" w:oddHBand="0" w:evenHBand="0" w:firstRowFirstColumn="0" w:firstRowLastColumn="0" w:lastRowFirstColumn="0" w:lastRowLastColumn="0"/>
            <w:tcW w:w="895" w:type="dxa"/>
          </w:tcPr>
          <w:p w14:paraId="233ADE91" w14:textId="77777777" w:rsidR="00960B87" w:rsidRPr="00E54D60" w:rsidRDefault="00960B87" w:rsidP="00714045">
            <w:r w:rsidRPr="00E54D60">
              <w:t>4.</w:t>
            </w:r>
          </w:p>
        </w:tc>
        <w:tc>
          <w:tcPr>
            <w:tcW w:w="1170" w:type="dxa"/>
          </w:tcPr>
          <w:p w14:paraId="247931C0" w14:textId="4C9A63CA" w:rsidR="00960B87" w:rsidRPr="00E54D60" w:rsidRDefault="00960B87" w:rsidP="00714045">
            <w:pPr>
              <w:cnfStyle w:val="000000000000" w:firstRow="0" w:lastRow="0" w:firstColumn="0" w:lastColumn="0" w:oddVBand="0" w:evenVBand="0" w:oddHBand="0" w:evenHBand="0" w:firstRowFirstColumn="0" w:firstRowLastColumn="0" w:lastRowFirstColumn="0" w:lastRowLastColumn="0"/>
            </w:pPr>
            <w:r>
              <w:t>Personāla</w:t>
            </w:r>
          </w:p>
        </w:tc>
        <w:tc>
          <w:tcPr>
            <w:tcW w:w="1440" w:type="dxa"/>
          </w:tcPr>
          <w:p w14:paraId="58765AC1" w14:textId="77777777" w:rsidR="00960B87" w:rsidRPr="00E54D60" w:rsidRDefault="00960B87" w:rsidP="00714045">
            <w:pPr>
              <w:cnfStyle w:val="000000000000" w:firstRow="0" w:lastRow="0" w:firstColumn="0" w:lastColumn="0" w:oddVBand="0" w:evenVBand="0" w:oddHBand="0" w:evenHBand="0" w:firstRowFirstColumn="0" w:firstRowLastColumn="0" w:lastRowFirstColumn="0" w:lastRowLastColumn="0"/>
            </w:pPr>
            <w:r w:rsidRPr="00E54D60">
              <w:t>Vadības personāla izmaiņas</w:t>
            </w:r>
          </w:p>
        </w:tc>
        <w:tc>
          <w:tcPr>
            <w:tcW w:w="540" w:type="dxa"/>
            <w:textDirection w:val="btLr"/>
            <w:vAlign w:val="center"/>
          </w:tcPr>
          <w:p w14:paraId="4F848D4E" w14:textId="77777777" w:rsidR="00960B87" w:rsidRPr="00E54D60" w:rsidRDefault="00960B87" w:rsidP="002319D2">
            <w:pPr>
              <w:jc w:val="center"/>
              <w:cnfStyle w:val="000000000000" w:firstRow="0" w:lastRow="0" w:firstColumn="0" w:lastColumn="0" w:oddVBand="0" w:evenVBand="0" w:oddHBand="0" w:evenHBand="0" w:firstRowFirstColumn="0" w:firstRowLastColumn="0" w:lastRowFirstColumn="0" w:lastRowLastColumn="0"/>
            </w:pPr>
            <w:r>
              <w:t>Vidēja</w:t>
            </w:r>
          </w:p>
        </w:tc>
        <w:tc>
          <w:tcPr>
            <w:tcW w:w="900" w:type="dxa"/>
            <w:textDirection w:val="btLr"/>
            <w:vAlign w:val="center"/>
          </w:tcPr>
          <w:p w14:paraId="2B2DD875" w14:textId="77777777" w:rsidR="00960B87" w:rsidRPr="00E54D60" w:rsidRDefault="00960B87" w:rsidP="002319D2">
            <w:pPr>
              <w:jc w:val="center"/>
              <w:cnfStyle w:val="000000000000" w:firstRow="0" w:lastRow="0" w:firstColumn="0" w:lastColumn="0" w:oddVBand="0" w:evenVBand="0" w:oddHBand="0" w:evenHBand="0" w:firstRowFirstColumn="0" w:firstRowLastColumn="0" w:lastRowFirstColumn="0" w:lastRowLastColumn="0"/>
            </w:pPr>
            <w:r>
              <w:t>Vidēja</w:t>
            </w:r>
          </w:p>
        </w:tc>
        <w:tc>
          <w:tcPr>
            <w:tcW w:w="4500" w:type="dxa"/>
          </w:tcPr>
          <w:p w14:paraId="18D5C24B" w14:textId="77777777" w:rsidR="00960B87" w:rsidRDefault="00960B87" w:rsidP="00714045">
            <w:pPr>
              <w:cnfStyle w:val="000000000000" w:firstRow="0" w:lastRow="0" w:firstColumn="0" w:lastColumn="0" w:oddVBand="0" w:evenVBand="0" w:oddHBand="0" w:evenHBand="0" w:firstRowFirstColumn="0" w:firstRowLastColumn="0" w:lastRowFirstColumn="0" w:lastRowLastColumn="0"/>
            </w:pPr>
            <w:r>
              <w:rPr>
                <w:b/>
              </w:rPr>
              <w:t xml:space="preserve">Novēršana – </w:t>
            </w:r>
            <w:r w:rsidRPr="00D80EB3">
              <w:t>pieredzējušu vadītāju atlase</w:t>
            </w:r>
            <w:r>
              <w:t>;</w:t>
            </w:r>
          </w:p>
          <w:p w14:paraId="5B8B7D27" w14:textId="77777777" w:rsidR="00960B87" w:rsidRPr="00D80EB3" w:rsidRDefault="00960B87" w:rsidP="00714045">
            <w:pPr>
              <w:cnfStyle w:val="000000000000" w:firstRow="0" w:lastRow="0" w:firstColumn="0" w:lastColumn="0" w:oddVBand="0" w:evenVBand="0" w:oddHBand="0" w:evenHBand="0" w:firstRowFirstColumn="0" w:firstRowLastColumn="0" w:lastRowFirstColumn="0" w:lastRowLastColumn="0"/>
              <w:rPr>
                <w:b/>
              </w:rPr>
            </w:pPr>
            <w:r>
              <w:rPr>
                <w:b/>
              </w:rPr>
              <w:t>Ietekmes</w:t>
            </w:r>
            <w:r w:rsidRPr="00D80EB3">
              <w:rPr>
                <w:b/>
              </w:rPr>
              <w:t xml:space="preserve"> </w:t>
            </w:r>
            <w:r w:rsidRPr="00CE2B10">
              <w:rPr>
                <w:b/>
              </w:rPr>
              <w:t>mazināšana</w:t>
            </w:r>
            <w:r>
              <w:t xml:space="preserve"> </w:t>
            </w:r>
            <w:r>
              <w:rPr>
                <w:b/>
              </w:rPr>
              <w:t>–</w:t>
            </w:r>
            <w:r w:rsidRPr="00D80EB3">
              <w:rPr>
                <w:b/>
              </w:rPr>
              <w:t xml:space="preserve"> </w:t>
            </w:r>
            <w:r>
              <w:t>skaidras projektu vadības procedūras, vienoti datu apstrādes un uzglabāšanas standarti, ārējais pakalpojumu sniedzējs uztur vienotu IT sistēmu un IT arhīvu.</w:t>
            </w:r>
          </w:p>
        </w:tc>
      </w:tr>
      <w:tr w:rsidR="00960B87" w:rsidRPr="00E54D60" w14:paraId="6F78C5F5" w14:textId="77777777" w:rsidTr="002319D2">
        <w:trPr>
          <w:cantSplit/>
          <w:trHeight w:val="1134"/>
        </w:trPr>
        <w:tc>
          <w:tcPr>
            <w:cnfStyle w:val="001000000000" w:firstRow="0" w:lastRow="0" w:firstColumn="1" w:lastColumn="0" w:oddVBand="0" w:evenVBand="0" w:oddHBand="0" w:evenHBand="0" w:firstRowFirstColumn="0" w:firstRowLastColumn="0" w:lastRowFirstColumn="0" w:lastRowLastColumn="0"/>
            <w:tcW w:w="895" w:type="dxa"/>
          </w:tcPr>
          <w:p w14:paraId="58C6AE3B" w14:textId="77777777" w:rsidR="00960B87" w:rsidRPr="00E54D60" w:rsidRDefault="00960B87" w:rsidP="00714045">
            <w:r>
              <w:t xml:space="preserve">4.1. </w:t>
            </w:r>
          </w:p>
        </w:tc>
        <w:tc>
          <w:tcPr>
            <w:tcW w:w="1170" w:type="dxa"/>
          </w:tcPr>
          <w:p w14:paraId="5916EB18" w14:textId="639F8900" w:rsidR="00960B87" w:rsidRDefault="00960B87" w:rsidP="00714045">
            <w:pPr>
              <w:cnfStyle w:val="000000000000" w:firstRow="0" w:lastRow="0" w:firstColumn="0" w:lastColumn="0" w:oddVBand="0" w:evenVBand="0" w:oddHBand="0" w:evenHBand="0" w:firstRowFirstColumn="0" w:firstRowLastColumn="0" w:lastRowFirstColumn="0" w:lastRowLastColumn="0"/>
            </w:pPr>
            <w:r>
              <w:t>Personāla</w:t>
            </w:r>
          </w:p>
        </w:tc>
        <w:tc>
          <w:tcPr>
            <w:tcW w:w="1440" w:type="dxa"/>
          </w:tcPr>
          <w:p w14:paraId="5F45D381" w14:textId="77777777" w:rsidR="00960B87" w:rsidRPr="00E54D60" w:rsidRDefault="00960B87" w:rsidP="00714045">
            <w:pPr>
              <w:cnfStyle w:val="000000000000" w:firstRow="0" w:lastRow="0" w:firstColumn="0" w:lastColumn="0" w:oddVBand="0" w:evenVBand="0" w:oddHBand="0" w:evenHBand="0" w:firstRowFirstColumn="0" w:firstRowLastColumn="0" w:lastRowFirstColumn="0" w:lastRowLastColumn="0"/>
            </w:pPr>
            <w:r>
              <w:t>Neprofesionāla projektu vadība</w:t>
            </w:r>
          </w:p>
        </w:tc>
        <w:tc>
          <w:tcPr>
            <w:tcW w:w="540" w:type="dxa"/>
            <w:textDirection w:val="btLr"/>
            <w:vAlign w:val="center"/>
          </w:tcPr>
          <w:p w14:paraId="14CFE943" w14:textId="77777777" w:rsidR="00960B87" w:rsidRPr="00E54D60" w:rsidRDefault="00960B87" w:rsidP="002319D2">
            <w:pPr>
              <w:jc w:val="center"/>
              <w:cnfStyle w:val="000000000000" w:firstRow="0" w:lastRow="0" w:firstColumn="0" w:lastColumn="0" w:oddVBand="0" w:evenVBand="0" w:oddHBand="0" w:evenHBand="0" w:firstRowFirstColumn="0" w:firstRowLastColumn="0" w:lastRowFirstColumn="0" w:lastRowLastColumn="0"/>
            </w:pPr>
            <w:r>
              <w:t>Vidēja</w:t>
            </w:r>
          </w:p>
        </w:tc>
        <w:tc>
          <w:tcPr>
            <w:tcW w:w="900" w:type="dxa"/>
            <w:textDirection w:val="btLr"/>
            <w:vAlign w:val="center"/>
          </w:tcPr>
          <w:p w14:paraId="07346A50" w14:textId="77777777" w:rsidR="00960B87" w:rsidRPr="00E54D60" w:rsidRDefault="00960B87" w:rsidP="002319D2">
            <w:pPr>
              <w:jc w:val="center"/>
              <w:cnfStyle w:val="000000000000" w:firstRow="0" w:lastRow="0" w:firstColumn="0" w:lastColumn="0" w:oddVBand="0" w:evenVBand="0" w:oddHBand="0" w:evenHBand="0" w:firstRowFirstColumn="0" w:firstRowLastColumn="0" w:lastRowFirstColumn="0" w:lastRowLastColumn="0"/>
            </w:pPr>
            <w:r>
              <w:t>Vidēja</w:t>
            </w:r>
          </w:p>
        </w:tc>
        <w:tc>
          <w:tcPr>
            <w:tcW w:w="4500" w:type="dxa"/>
          </w:tcPr>
          <w:p w14:paraId="00DF30AB" w14:textId="77777777" w:rsidR="00960B87" w:rsidRDefault="00960B87" w:rsidP="00714045">
            <w:pPr>
              <w:cnfStyle w:val="000000000000" w:firstRow="0" w:lastRow="0" w:firstColumn="0" w:lastColumn="0" w:oddVBand="0" w:evenVBand="0" w:oddHBand="0" w:evenHBand="0" w:firstRowFirstColumn="0" w:firstRowLastColumn="0" w:lastRowFirstColumn="0" w:lastRowLastColumn="0"/>
            </w:pPr>
            <w:r w:rsidRPr="0029157B">
              <w:rPr>
                <w:b/>
              </w:rPr>
              <w:t>Novēršana –</w:t>
            </w:r>
            <w:r>
              <w:t xml:space="preserve"> atlases kritēriji, kas ļauj atlasīt labākos projektus no pieredzējušākiem projektu īstenotājiem. Uzņēmumu izvērtēšana.</w:t>
            </w:r>
          </w:p>
          <w:p w14:paraId="0D5ACD0B" w14:textId="77777777" w:rsidR="00960B87" w:rsidRPr="00C32C30" w:rsidRDefault="00960B87" w:rsidP="00714045">
            <w:pPr>
              <w:cnfStyle w:val="000000000000" w:firstRow="0" w:lastRow="0" w:firstColumn="0" w:lastColumn="0" w:oddVBand="0" w:evenVBand="0" w:oddHBand="0" w:evenHBand="0" w:firstRowFirstColumn="0" w:firstRowLastColumn="0" w:lastRowFirstColumn="0" w:lastRowLastColumn="0"/>
              <w:rPr>
                <w:b/>
              </w:rPr>
            </w:pPr>
            <w:r w:rsidRPr="00C32C30">
              <w:rPr>
                <w:b/>
              </w:rPr>
              <w:t xml:space="preserve">Ietekmes </w:t>
            </w:r>
            <w:r w:rsidRPr="00CE2B10">
              <w:rPr>
                <w:b/>
              </w:rPr>
              <w:t>mazināšana</w:t>
            </w:r>
            <w:r>
              <w:t xml:space="preserve"> </w:t>
            </w:r>
            <w:r>
              <w:rPr>
                <w:b/>
              </w:rPr>
              <w:t xml:space="preserve">– </w:t>
            </w:r>
            <w:r>
              <w:t>ceturkšņa atskaites</w:t>
            </w:r>
            <w:r w:rsidRPr="0029157B">
              <w:rPr>
                <w:b/>
              </w:rPr>
              <w:t>.</w:t>
            </w:r>
            <w:r w:rsidRPr="00C32C30">
              <w:rPr>
                <w:b/>
              </w:rPr>
              <w:t xml:space="preserve"> </w:t>
            </w:r>
            <w:r w:rsidRPr="0029157B">
              <w:t>Projektu uzraudzība</w:t>
            </w:r>
            <w:r>
              <w:t xml:space="preserve"> un finansējuma pārdale no neveiksmīgiem projektiem.</w:t>
            </w:r>
          </w:p>
        </w:tc>
      </w:tr>
      <w:tr w:rsidR="00960B87" w:rsidRPr="00E54D60" w14:paraId="5F21ADCA" w14:textId="77777777" w:rsidTr="002319D2">
        <w:trPr>
          <w:cantSplit/>
          <w:trHeight w:val="1134"/>
        </w:trPr>
        <w:tc>
          <w:tcPr>
            <w:cnfStyle w:val="001000000000" w:firstRow="0" w:lastRow="0" w:firstColumn="1" w:lastColumn="0" w:oddVBand="0" w:evenVBand="0" w:oddHBand="0" w:evenHBand="0" w:firstRowFirstColumn="0" w:firstRowLastColumn="0" w:lastRowFirstColumn="0" w:lastRowLastColumn="0"/>
            <w:tcW w:w="895" w:type="dxa"/>
          </w:tcPr>
          <w:p w14:paraId="1E1DBC6F" w14:textId="7C2B4152" w:rsidR="00960B87" w:rsidRPr="00E54D60" w:rsidRDefault="00960B87" w:rsidP="00714045">
            <w:r>
              <w:lastRenderedPageBreak/>
              <w:t>5.</w:t>
            </w:r>
          </w:p>
        </w:tc>
        <w:tc>
          <w:tcPr>
            <w:tcW w:w="1170" w:type="dxa"/>
          </w:tcPr>
          <w:p w14:paraId="75D2BB6C" w14:textId="2275E02D" w:rsidR="00960B87" w:rsidRDefault="00960B87" w:rsidP="00714045">
            <w:pPr>
              <w:cnfStyle w:val="000000000000" w:firstRow="0" w:lastRow="0" w:firstColumn="0" w:lastColumn="0" w:oddVBand="0" w:evenVBand="0" w:oddHBand="0" w:evenHBand="0" w:firstRowFirstColumn="0" w:firstRowLastColumn="0" w:lastRowFirstColumn="0" w:lastRowLastColumn="0"/>
            </w:pPr>
            <w:r>
              <w:t>Juridiskais</w:t>
            </w:r>
          </w:p>
        </w:tc>
        <w:tc>
          <w:tcPr>
            <w:tcW w:w="1440" w:type="dxa"/>
          </w:tcPr>
          <w:p w14:paraId="306D1AEB" w14:textId="1F25DBB7" w:rsidR="00960B87" w:rsidRDefault="00960B87" w:rsidP="00714045">
            <w:pPr>
              <w:cnfStyle w:val="000000000000" w:firstRow="0" w:lastRow="0" w:firstColumn="0" w:lastColumn="0" w:oddVBand="0" w:evenVBand="0" w:oddHBand="0" w:evenHBand="0" w:firstRowFirstColumn="0" w:firstRowLastColumn="0" w:lastRowFirstColumn="0" w:lastRowLastColumn="0"/>
            </w:pPr>
            <w:r>
              <w:t>Līgumsaistību nepildīšana</w:t>
            </w:r>
          </w:p>
        </w:tc>
        <w:tc>
          <w:tcPr>
            <w:tcW w:w="540" w:type="dxa"/>
            <w:textDirection w:val="btLr"/>
            <w:vAlign w:val="center"/>
          </w:tcPr>
          <w:p w14:paraId="64AE6670" w14:textId="376C617B" w:rsidR="00960B87" w:rsidRDefault="00960B87" w:rsidP="002319D2">
            <w:pPr>
              <w:jc w:val="center"/>
              <w:cnfStyle w:val="000000000000" w:firstRow="0" w:lastRow="0" w:firstColumn="0" w:lastColumn="0" w:oddVBand="0" w:evenVBand="0" w:oddHBand="0" w:evenHBand="0" w:firstRowFirstColumn="0" w:firstRowLastColumn="0" w:lastRowFirstColumn="0" w:lastRowLastColumn="0"/>
            </w:pPr>
            <w:r>
              <w:t>Vidēja</w:t>
            </w:r>
          </w:p>
        </w:tc>
        <w:tc>
          <w:tcPr>
            <w:tcW w:w="900" w:type="dxa"/>
            <w:textDirection w:val="btLr"/>
            <w:vAlign w:val="center"/>
          </w:tcPr>
          <w:p w14:paraId="119CB1F4" w14:textId="32AF2269" w:rsidR="00960B87" w:rsidRDefault="00960B87" w:rsidP="002319D2">
            <w:pPr>
              <w:jc w:val="center"/>
              <w:cnfStyle w:val="000000000000" w:firstRow="0" w:lastRow="0" w:firstColumn="0" w:lastColumn="0" w:oddVBand="0" w:evenVBand="0" w:oddHBand="0" w:evenHBand="0" w:firstRowFirstColumn="0" w:firstRowLastColumn="0" w:lastRowFirstColumn="0" w:lastRowLastColumn="0"/>
            </w:pPr>
            <w:r>
              <w:t>Zema</w:t>
            </w:r>
          </w:p>
        </w:tc>
        <w:tc>
          <w:tcPr>
            <w:tcW w:w="4500" w:type="dxa"/>
          </w:tcPr>
          <w:p w14:paraId="0619877E" w14:textId="77777777" w:rsidR="00960B87" w:rsidRDefault="00960B87" w:rsidP="00714045">
            <w:pPr>
              <w:keepLines w:val="0"/>
              <w:cnfStyle w:val="000000000000" w:firstRow="0" w:lastRow="0" w:firstColumn="0" w:lastColumn="0" w:oddVBand="0" w:evenVBand="0" w:oddHBand="0" w:evenHBand="0" w:firstRowFirstColumn="0" w:firstRowLastColumn="0" w:lastRowFirstColumn="0" w:lastRowLastColumn="0"/>
            </w:pPr>
            <w:r>
              <w:t>Novēršana - s</w:t>
            </w:r>
            <w:r w:rsidRPr="00A96EBF">
              <w:t xml:space="preserve">arunu veikšana </w:t>
            </w:r>
            <w:r>
              <w:t>S</w:t>
            </w:r>
            <w:r w:rsidRPr="00A96EBF">
              <w:t>adarbības partneru atlases laikā, šaubu gadījumā izvērtējot publiskajos reģistros pieejamos datus par uzņēmuma/projekta pieteicēja un to īpašnieku saistību izpildes vēsturi</w:t>
            </w:r>
          </w:p>
          <w:p w14:paraId="43639A42" w14:textId="26D0D732" w:rsidR="00960B87" w:rsidRPr="0029157B" w:rsidRDefault="00960B87" w:rsidP="00714045">
            <w:pPr>
              <w:cnfStyle w:val="000000000000" w:firstRow="0" w:lastRow="0" w:firstColumn="0" w:lastColumn="0" w:oddVBand="0" w:evenVBand="0" w:oddHBand="0" w:evenHBand="0" w:firstRowFirstColumn="0" w:firstRowLastColumn="0" w:lastRowFirstColumn="0" w:lastRowLastColumn="0"/>
              <w:rPr>
                <w:b/>
              </w:rPr>
            </w:pPr>
            <w:r w:rsidRPr="005B31FA">
              <w:t>Ietekmes mazināšana – regulārs projektu monitorings</w:t>
            </w:r>
            <w:r>
              <w:t xml:space="preserve">; konsultācijas ar </w:t>
            </w:r>
            <w:r w:rsidR="00994019">
              <w:t>CFLA</w:t>
            </w:r>
            <w:r>
              <w:t xml:space="preserve"> gadījumā, ja iestājas juridiska rakstura domstarpības vai nu </w:t>
            </w:r>
            <w:r w:rsidR="00B62BEB">
              <w:t xml:space="preserve">starp </w:t>
            </w:r>
            <w:r>
              <w:t xml:space="preserve">KC </w:t>
            </w:r>
            <w:r w:rsidR="00B62BEB">
              <w:t>un</w:t>
            </w:r>
            <w:r>
              <w:t xml:space="preserve"> Sadarbības partneri, vai nu Sadarbības partnerim ar tā partneri vai ārpakalpojuma sniedzēju.</w:t>
            </w:r>
          </w:p>
        </w:tc>
      </w:tr>
      <w:tr w:rsidR="00960B87" w:rsidRPr="00E54D60" w14:paraId="6F3F0E35" w14:textId="77777777" w:rsidTr="002319D2">
        <w:trPr>
          <w:cantSplit/>
          <w:trHeight w:val="1134"/>
        </w:trPr>
        <w:tc>
          <w:tcPr>
            <w:cnfStyle w:val="001000000000" w:firstRow="0" w:lastRow="0" w:firstColumn="1" w:lastColumn="0" w:oddVBand="0" w:evenVBand="0" w:oddHBand="0" w:evenHBand="0" w:firstRowFirstColumn="0" w:firstRowLastColumn="0" w:lastRowFirstColumn="0" w:lastRowLastColumn="0"/>
            <w:tcW w:w="895" w:type="dxa"/>
          </w:tcPr>
          <w:p w14:paraId="3AF2031E" w14:textId="69EA76F3" w:rsidR="00960B87" w:rsidRPr="00E54D60" w:rsidRDefault="00960B87" w:rsidP="00714045">
            <w:r>
              <w:t>5.1</w:t>
            </w:r>
          </w:p>
        </w:tc>
        <w:tc>
          <w:tcPr>
            <w:tcW w:w="1170" w:type="dxa"/>
          </w:tcPr>
          <w:p w14:paraId="716E5D74" w14:textId="62E23106" w:rsidR="00960B87" w:rsidRDefault="00960B87" w:rsidP="00714045">
            <w:pPr>
              <w:cnfStyle w:val="000000000000" w:firstRow="0" w:lastRow="0" w:firstColumn="0" w:lastColumn="0" w:oddVBand="0" w:evenVBand="0" w:oddHBand="0" w:evenHBand="0" w:firstRowFirstColumn="0" w:firstRowLastColumn="0" w:lastRowFirstColumn="0" w:lastRowLastColumn="0"/>
            </w:pPr>
            <w:r>
              <w:t>Ārkārtas (jurisdiskais)</w:t>
            </w:r>
          </w:p>
        </w:tc>
        <w:tc>
          <w:tcPr>
            <w:tcW w:w="1440" w:type="dxa"/>
          </w:tcPr>
          <w:p w14:paraId="1A7FB0D6" w14:textId="77777777" w:rsidR="00960B87" w:rsidRPr="007835E1" w:rsidRDefault="00960B87" w:rsidP="00714045">
            <w:pPr>
              <w:keepLines w:val="0"/>
              <w:cnfStyle w:val="000000000000" w:firstRow="0" w:lastRow="0" w:firstColumn="0" w:lastColumn="0" w:oddVBand="0" w:evenVBand="0" w:oddHBand="0" w:evenHBand="0" w:firstRowFirstColumn="0" w:firstRowLastColumn="0" w:lastRowFirstColumn="0" w:lastRowLastColumn="0"/>
            </w:pPr>
            <w:r w:rsidRPr="007835E1">
              <w:t>Atbalstu saņēmušā uzņēmuma projekts pēc atbalsta saņemšanas un projekta pabeigšanas uzņēmuma pamatdarbība ir neveiksmīga un tas nav spējīgs tālāk finansēt projektu un rezultātu komercializāciju vai iestājas uzņēmuma maksātnespēja. </w:t>
            </w:r>
          </w:p>
          <w:p w14:paraId="320416E4" w14:textId="2FAFCCAC" w:rsidR="00960B87" w:rsidRDefault="00960B87" w:rsidP="00714045">
            <w:pPr>
              <w:cnfStyle w:val="000000000000" w:firstRow="0" w:lastRow="0" w:firstColumn="0" w:lastColumn="0" w:oddVBand="0" w:evenVBand="0" w:oddHBand="0" w:evenHBand="0" w:firstRowFirstColumn="0" w:firstRowLastColumn="0" w:lastRowFirstColumn="0" w:lastRowLastColumn="0"/>
            </w:pPr>
            <w:r w:rsidRPr="007835E1">
              <w:t xml:space="preserve">Atbalstu saņēmušais uzņēmums vai tā īpašnieki nepiedalās jautājuma risināšanā. </w:t>
            </w:r>
          </w:p>
        </w:tc>
        <w:tc>
          <w:tcPr>
            <w:tcW w:w="540" w:type="dxa"/>
            <w:textDirection w:val="btLr"/>
            <w:vAlign w:val="center"/>
          </w:tcPr>
          <w:p w14:paraId="61EEE418" w14:textId="0C429F84" w:rsidR="00960B87" w:rsidRDefault="00C12FBB" w:rsidP="002319D2">
            <w:pPr>
              <w:jc w:val="center"/>
              <w:cnfStyle w:val="000000000000" w:firstRow="0" w:lastRow="0" w:firstColumn="0" w:lastColumn="0" w:oddVBand="0" w:evenVBand="0" w:oddHBand="0" w:evenHBand="0" w:firstRowFirstColumn="0" w:firstRowLastColumn="0" w:lastRowFirstColumn="0" w:lastRowLastColumn="0"/>
            </w:pPr>
            <w:r>
              <w:t>Augsta</w:t>
            </w:r>
          </w:p>
        </w:tc>
        <w:tc>
          <w:tcPr>
            <w:tcW w:w="900" w:type="dxa"/>
            <w:textDirection w:val="btLr"/>
            <w:vAlign w:val="center"/>
          </w:tcPr>
          <w:p w14:paraId="24B1608F" w14:textId="38CA3CAF" w:rsidR="00960B87" w:rsidRDefault="00960B87" w:rsidP="002319D2">
            <w:pPr>
              <w:jc w:val="center"/>
              <w:cnfStyle w:val="000000000000" w:firstRow="0" w:lastRow="0" w:firstColumn="0" w:lastColumn="0" w:oddVBand="0" w:evenVBand="0" w:oddHBand="0" w:evenHBand="0" w:firstRowFirstColumn="0" w:firstRowLastColumn="0" w:lastRowFirstColumn="0" w:lastRowLastColumn="0"/>
            </w:pPr>
            <w:r>
              <w:t>Zema</w:t>
            </w:r>
          </w:p>
        </w:tc>
        <w:tc>
          <w:tcPr>
            <w:tcW w:w="4500" w:type="dxa"/>
          </w:tcPr>
          <w:p w14:paraId="0FA5952A" w14:textId="77777777" w:rsidR="00960B87" w:rsidRPr="00A96EBF" w:rsidRDefault="00960B87" w:rsidP="00714045">
            <w:pPr>
              <w:keepLines w:val="0"/>
              <w:cnfStyle w:val="000000000000" w:firstRow="0" w:lastRow="0" w:firstColumn="0" w:lastColumn="0" w:oddVBand="0" w:evenVBand="0" w:oddHBand="0" w:evenHBand="0" w:firstRowFirstColumn="0" w:firstRowLastColumn="0" w:lastRowFirstColumn="0" w:lastRowLastColumn="0"/>
            </w:pPr>
            <w:r w:rsidRPr="00DC3015">
              <w:rPr>
                <w:b/>
              </w:rPr>
              <w:t>Novēršana</w:t>
            </w:r>
            <w:r w:rsidRPr="00A96EBF">
              <w:t> – nav pasākumu</w:t>
            </w:r>
            <w:r>
              <w:t>,</w:t>
            </w:r>
            <w:r w:rsidRPr="00A96EBF">
              <w:t xml:space="preserve"> kas pilnībā novērstu šādu risku.</w:t>
            </w:r>
          </w:p>
          <w:p w14:paraId="5E581BE9" w14:textId="77777777" w:rsidR="00960B87" w:rsidRPr="00A96EBF" w:rsidRDefault="00960B87" w:rsidP="00714045">
            <w:pPr>
              <w:keepLines w:val="0"/>
              <w:cnfStyle w:val="000000000000" w:firstRow="0" w:lastRow="0" w:firstColumn="0" w:lastColumn="0" w:oddVBand="0" w:evenVBand="0" w:oddHBand="0" w:evenHBand="0" w:firstRowFirstColumn="0" w:firstRowLastColumn="0" w:lastRowFirstColumn="0" w:lastRowLastColumn="0"/>
            </w:pPr>
            <w:r w:rsidRPr="00DC3015">
              <w:rPr>
                <w:b/>
              </w:rPr>
              <w:t>Ietekmes mazināšana</w:t>
            </w:r>
            <w:r w:rsidRPr="00A96EBF">
              <w:t> – rekomendāciju sniegšana un komersantu informēšana par piesardzīgāku naudas plūsmas plānošanu. Sarunu veikšana sadarbības partneru atlases laikā, šaubu gadījumā izvērtējot publiskajos reģistros pieejamos datus par uzņēmuma/projekta pieteicēja un to īpašnieku saistību izpildes vēsturi, nodokļu nomaksas pieredzi, akcionāru pārvaldības pieredzi, lai novērstu atbalsta piešķiršanu uzņēmumiem, par kuru spēju sadarboties un turpināt labticīgu sadarbību arī pēc KC projekta pabeigšanas nav pārliecības</w:t>
            </w:r>
          </w:p>
          <w:p w14:paraId="43D220BF" w14:textId="77777777" w:rsidR="00960B87" w:rsidRPr="0029157B" w:rsidRDefault="00960B87" w:rsidP="00714045">
            <w:pPr>
              <w:cnfStyle w:val="000000000000" w:firstRow="0" w:lastRow="0" w:firstColumn="0" w:lastColumn="0" w:oddVBand="0" w:evenVBand="0" w:oddHBand="0" w:evenHBand="0" w:firstRowFirstColumn="0" w:firstRowLastColumn="0" w:lastRowFirstColumn="0" w:lastRowLastColumn="0"/>
              <w:rPr>
                <w:b/>
              </w:rPr>
            </w:pPr>
          </w:p>
        </w:tc>
      </w:tr>
      <w:tr w:rsidR="00960B87" w:rsidRPr="00E54D60" w14:paraId="6399A236" w14:textId="77777777" w:rsidTr="002319D2">
        <w:trPr>
          <w:cantSplit/>
          <w:trHeight w:val="1134"/>
        </w:trPr>
        <w:tc>
          <w:tcPr>
            <w:cnfStyle w:val="001000000000" w:firstRow="0" w:lastRow="0" w:firstColumn="1" w:lastColumn="0" w:oddVBand="0" w:evenVBand="0" w:oddHBand="0" w:evenHBand="0" w:firstRowFirstColumn="0" w:firstRowLastColumn="0" w:lastRowFirstColumn="0" w:lastRowLastColumn="0"/>
            <w:tcW w:w="895" w:type="dxa"/>
          </w:tcPr>
          <w:p w14:paraId="074F3EBB" w14:textId="65D65F8F" w:rsidR="00960B87" w:rsidRPr="00E54D60" w:rsidRDefault="00960B87" w:rsidP="00714045">
            <w:r>
              <w:lastRenderedPageBreak/>
              <w:t>6</w:t>
            </w:r>
            <w:r w:rsidRPr="00E54D60">
              <w:t>.</w:t>
            </w:r>
          </w:p>
        </w:tc>
        <w:tc>
          <w:tcPr>
            <w:tcW w:w="1170" w:type="dxa"/>
          </w:tcPr>
          <w:p w14:paraId="06264B67" w14:textId="77777777" w:rsidR="00960B87" w:rsidRPr="00E54D60" w:rsidRDefault="00960B87" w:rsidP="00714045">
            <w:pPr>
              <w:cnfStyle w:val="000000000000" w:firstRow="0" w:lastRow="0" w:firstColumn="0" w:lastColumn="0" w:oddVBand="0" w:evenVBand="0" w:oddHBand="0" w:evenHBand="0" w:firstRowFirstColumn="0" w:firstRowLastColumn="0" w:lastRowFirstColumn="0" w:lastRowLastColumn="0"/>
            </w:pPr>
            <w:r>
              <w:t>Citi</w:t>
            </w:r>
          </w:p>
        </w:tc>
        <w:tc>
          <w:tcPr>
            <w:tcW w:w="1440" w:type="dxa"/>
          </w:tcPr>
          <w:p w14:paraId="06275C21" w14:textId="77777777" w:rsidR="00960B87" w:rsidRPr="00E54D60" w:rsidRDefault="00960B87" w:rsidP="00714045">
            <w:pPr>
              <w:cnfStyle w:val="000000000000" w:firstRow="0" w:lastRow="0" w:firstColumn="0" w:lastColumn="0" w:oddVBand="0" w:evenVBand="0" w:oddHBand="0" w:evenHBand="0" w:firstRowFirstColumn="0" w:firstRowLastColumn="0" w:lastRowFirstColumn="0" w:lastRowLastColumn="0"/>
            </w:pPr>
            <w:r>
              <w:t>Ārējie riski, kas ietekmē produktus vai uzņēmumus</w:t>
            </w:r>
          </w:p>
        </w:tc>
        <w:tc>
          <w:tcPr>
            <w:tcW w:w="540" w:type="dxa"/>
            <w:textDirection w:val="btLr"/>
            <w:vAlign w:val="center"/>
          </w:tcPr>
          <w:p w14:paraId="2F0609D3" w14:textId="77777777" w:rsidR="00960B87" w:rsidRPr="00E54D60" w:rsidRDefault="00960B87" w:rsidP="002319D2">
            <w:pPr>
              <w:jc w:val="center"/>
              <w:cnfStyle w:val="000000000000" w:firstRow="0" w:lastRow="0" w:firstColumn="0" w:lastColumn="0" w:oddVBand="0" w:evenVBand="0" w:oddHBand="0" w:evenHBand="0" w:firstRowFirstColumn="0" w:firstRowLastColumn="0" w:lastRowFirstColumn="0" w:lastRowLastColumn="0"/>
            </w:pPr>
            <w:r>
              <w:t>Vidēja</w:t>
            </w:r>
          </w:p>
        </w:tc>
        <w:tc>
          <w:tcPr>
            <w:tcW w:w="900" w:type="dxa"/>
            <w:textDirection w:val="btLr"/>
            <w:vAlign w:val="center"/>
          </w:tcPr>
          <w:p w14:paraId="15B3A119" w14:textId="77777777" w:rsidR="00960B87" w:rsidRPr="00E54D60" w:rsidRDefault="00960B87" w:rsidP="002319D2">
            <w:pPr>
              <w:jc w:val="center"/>
              <w:cnfStyle w:val="000000000000" w:firstRow="0" w:lastRow="0" w:firstColumn="0" w:lastColumn="0" w:oddVBand="0" w:evenVBand="0" w:oddHBand="0" w:evenHBand="0" w:firstRowFirstColumn="0" w:firstRowLastColumn="0" w:lastRowFirstColumn="0" w:lastRowLastColumn="0"/>
            </w:pPr>
            <w:r>
              <w:t>Augsta</w:t>
            </w:r>
          </w:p>
        </w:tc>
        <w:tc>
          <w:tcPr>
            <w:tcW w:w="4500" w:type="dxa"/>
          </w:tcPr>
          <w:p w14:paraId="2737ED76" w14:textId="77777777" w:rsidR="00960B87" w:rsidRDefault="00960B87" w:rsidP="00714045">
            <w:pPr>
              <w:cnfStyle w:val="000000000000" w:firstRow="0" w:lastRow="0" w:firstColumn="0" w:lastColumn="0" w:oddVBand="0" w:evenVBand="0" w:oddHBand="0" w:evenHBand="0" w:firstRowFirstColumn="0" w:firstRowLastColumn="0" w:lastRowFirstColumn="0" w:lastRowLastColumn="0"/>
            </w:pPr>
            <w:r w:rsidRPr="0029157B">
              <w:rPr>
                <w:b/>
              </w:rPr>
              <w:t>Novēršana -</w:t>
            </w:r>
            <w:r>
              <w:rPr>
                <w:b/>
              </w:rPr>
              <w:t xml:space="preserve"> </w:t>
            </w:r>
            <w:r w:rsidRPr="0029157B">
              <w:t>nav efektīvu līdzekļu šo risku novēršanai</w:t>
            </w:r>
            <w:r>
              <w:t>,</w:t>
            </w:r>
            <w:r w:rsidRPr="0029157B">
              <w:t xml:space="preserve"> jo notikumi ir ārēji.</w:t>
            </w:r>
          </w:p>
          <w:p w14:paraId="279D963E" w14:textId="77777777" w:rsidR="00960B87" w:rsidRPr="0029157B" w:rsidRDefault="00960B87" w:rsidP="00714045">
            <w:pPr>
              <w:cnfStyle w:val="000000000000" w:firstRow="0" w:lastRow="0" w:firstColumn="0" w:lastColumn="0" w:oddVBand="0" w:evenVBand="0" w:oddHBand="0" w:evenHBand="0" w:firstRowFirstColumn="0" w:firstRowLastColumn="0" w:lastRowFirstColumn="0" w:lastRowLastColumn="0"/>
              <w:rPr>
                <w:b/>
              </w:rPr>
            </w:pPr>
            <w:r w:rsidRPr="00C74D6D">
              <w:rPr>
                <w:b/>
              </w:rPr>
              <w:t>Ietekmes mazināšana</w:t>
            </w:r>
            <w:r>
              <w:t>– projektu diversifikācija. Plašāks uzņēmumu skaits.</w:t>
            </w:r>
          </w:p>
        </w:tc>
      </w:tr>
      <w:tr w:rsidR="00DA04CF" w:rsidRPr="00E54D60" w14:paraId="3E400696" w14:textId="77777777" w:rsidTr="002319D2">
        <w:trPr>
          <w:cantSplit/>
          <w:trHeight w:val="1134"/>
        </w:trPr>
        <w:tc>
          <w:tcPr>
            <w:cnfStyle w:val="001000000000" w:firstRow="0" w:lastRow="0" w:firstColumn="1" w:lastColumn="0" w:oddVBand="0" w:evenVBand="0" w:oddHBand="0" w:evenHBand="0" w:firstRowFirstColumn="0" w:firstRowLastColumn="0" w:lastRowFirstColumn="0" w:lastRowLastColumn="0"/>
            <w:tcW w:w="895" w:type="dxa"/>
          </w:tcPr>
          <w:p w14:paraId="16A0EF04" w14:textId="4232685F" w:rsidR="00DA04CF" w:rsidRDefault="00DA04CF" w:rsidP="00714045">
            <w:r w:rsidRPr="00701789">
              <w:t>7.</w:t>
            </w:r>
          </w:p>
        </w:tc>
        <w:tc>
          <w:tcPr>
            <w:tcW w:w="1170" w:type="dxa"/>
          </w:tcPr>
          <w:p w14:paraId="36FE1E22" w14:textId="22DADA28" w:rsidR="00DA04CF" w:rsidRDefault="00DA04CF" w:rsidP="00714045">
            <w:pPr>
              <w:cnfStyle w:val="000000000000" w:firstRow="0" w:lastRow="0" w:firstColumn="0" w:lastColumn="0" w:oddVBand="0" w:evenVBand="0" w:oddHBand="0" w:evenHBand="0" w:firstRowFirstColumn="0" w:firstRowLastColumn="0" w:lastRowFirstColumn="0" w:lastRowLastColumn="0"/>
            </w:pPr>
            <w:r>
              <w:t>Juridiskais</w:t>
            </w:r>
          </w:p>
        </w:tc>
        <w:tc>
          <w:tcPr>
            <w:tcW w:w="1440" w:type="dxa"/>
          </w:tcPr>
          <w:p w14:paraId="4DD6C23C" w14:textId="40EFFB9C" w:rsidR="00DA04CF" w:rsidRDefault="00DA04CF" w:rsidP="00714045">
            <w:pPr>
              <w:cnfStyle w:val="000000000000" w:firstRow="0" w:lastRow="0" w:firstColumn="0" w:lastColumn="0" w:oddVBand="0" w:evenVBand="0" w:oddHBand="0" w:evenHBand="0" w:firstRowFirstColumn="0" w:firstRowLastColumn="0" w:lastRowFirstColumn="0" w:lastRowLastColumn="0"/>
            </w:pPr>
            <w:r>
              <w:t>Intelektuālā īpašuma sadalījuma jautājumi sadarbības pētījumos</w:t>
            </w:r>
          </w:p>
        </w:tc>
        <w:tc>
          <w:tcPr>
            <w:tcW w:w="540" w:type="dxa"/>
            <w:textDirection w:val="btLr"/>
          </w:tcPr>
          <w:p w14:paraId="42E6675E" w14:textId="519469A9" w:rsidR="00DA04CF" w:rsidRDefault="00DA04CF" w:rsidP="002319D2">
            <w:pPr>
              <w:jc w:val="center"/>
              <w:cnfStyle w:val="000000000000" w:firstRow="0" w:lastRow="0" w:firstColumn="0" w:lastColumn="0" w:oddVBand="0" w:evenVBand="0" w:oddHBand="0" w:evenHBand="0" w:firstRowFirstColumn="0" w:firstRowLastColumn="0" w:lastRowFirstColumn="0" w:lastRowLastColumn="0"/>
            </w:pPr>
            <w:r>
              <w:t>Vidēja</w:t>
            </w:r>
          </w:p>
        </w:tc>
        <w:tc>
          <w:tcPr>
            <w:tcW w:w="900" w:type="dxa"/>
            <w:textDirection w:val="btLr"/>
          </w:tcPr>
          <w:p w14:paraId="1C184662" w14:textId="45A65801" w:rsidR="00DA04CF" w:rsidRDefault="00DA04CF" w:rsidP="002319D2">
            <w:pPr>
              <w:jc w:val="center"/>
              <w:cnfStyle w:val="000000000000" w:firstRow="0" w:lastRow="0" w:firstColumn="0" w:lastColumn="0" w:oddVBand="0" w:evenVBand="0" w:oddHBand="0" w:evenHBand="0" w:firstRowFirstColumn="0" w:firstRowLastColumn="0" w:lastRowFirstColumn="0" w:lastRowLastColumn="0"/>
            </w:pPr>
            <w:r>
              <w:t>Vidēja</w:t>
            </w:r>
          </w:p>
        </w:tc>
        <w:tc>
          <w:tcPr>
            <w:tcW w:w="4500" w:type="dxa"/>
          </w:tcPr>
          <w:p w14:paraId="198AEF83" w14:textId="77777777" w:rsidR="00DA04CF" w:rsidRPr="00156C6D" w:rsidRDefault="00DA04CF" w:rsidP="00714045">
            <w:pPr>
              <w:keepLines w:val="0"/>
              <w:jc w:val="left"/>
              <w:cnfStyle w:val="000000000000" w:firstRow="0" w:lastRow="0" w:firstColumn="0" w:lastColumn="0" w:oddVBand="0" w:evenVBand="0" w:oddHBand="0" w:evenHBand="0" w:firstRowFirstColumn="0" w:firstRowLastColumn="0" w:lastRowFirstColumn="0" w:lastRowLastColumn="0"/>
            </w:pPr>
            <w:r w:rsidRPr="00156C6D">
              <w:rPr>
                <w:b/>
              </w:rPr>
              <w:t>Novēršana</w:t>
            </w:r>
            <w:r w:rsidRPr="00156C6D">
              <w:t xml:space="preserve"> -</w:t>
            </w:r>
            <w:r w:rsidRPr="00156C6D">
              <w:rPr>
                <w:b/>
              </w:rPr>
              <w:t xml:space="preserve"> </w:t>
            </w:r>
            <w:r w:rsidRPr="00156C6D">
              <w:t xml:space="preserve">Sadarbības projektos uzņēmumiem tiks rekomendēts vienkāršots modelis, kurā katrs sadarbības partneris patur pilnas intelektuālā īpašuma un tai skaitā visas mantiskās tiesības uz to pētījuma un zināšanu daļu, ko tas ir veicis un līdzfinansējis. Tāpat sadarbības partneriem tiek rekomendēts ierobežot publiskās informācijas plūsmu un parakstīt savstarpējus konfidencialitātes līgumus gadījumos, ja tiek plānota intelektuālā īpašuma aizsardzība ar patentiem vai dizainparaugiem. Šajā gadījumā konfidencialitātes neievērošana apdraud sadarbības partneru iespējas pierādīt izgudrojuma novitātes līmeni. </w:t>
            </w:r>
          </w:p>
          <w:p w14:paraId="6A50F125" w14:textId="02134392" w:rsidR="00DA04CF" w:rsidRPr="0029157B" w:rsidRDefault="00DA04CF" w:rsidP="00714045">
            <w:pPr>
              <w:cnfStyle w:val="000000000000" w:firstRow="0" w:lastRow="0" w:firstColumn="0" w:lastColumn="0" w:oddVBand="0" w:evenVBand="0" w:oddHBand="0" w:evenHBand="0" w:firstRowFirstColumn="0" w:firstRowLastColumn="0" w:lastRowFirstColumn="0" w:lastRowLastColumn="0"/>
              <w:rPr>
                <w:b/>
              </w:rPr>
            </w:pPr>
            <w:r w:rsidRPr="00156C6D">
              <w:rPr>
                <w:b/>
              </w:rPr>
              <w:t>Ietekmes mazināšana</w:t>
            </w:r>
            <w:r w:rsidRPr="00156C6D">
              <w:t xml:space="preserve"> -</w:t>
            </w:r>
            <w:r w:rsidRPr="00156C6D">
              <w:rPr>
                <w:b/>
              </w:rPr>
              <w:t xml:space="preserve"> </w:t>
            </w:r>
            <w:r w:rsidRPr="00156C6D">
              <w:t>Sadarbības partneriem ir tiesības formēt citas, konkrētam sadarbības projekta</w:t>
            </w:r>
            <w:r>
              <w:t>m</w:t>
            </w:r>
            <w:r w:rsidRPr="00156C6D">
              <w:t xml:space="preserve"> piemērotākas attiecības. Kompetences centrs </w:t>
            </w:r>
            <w:r>
              <w:t>savukārt</w:t>
            </w:r>
            <w:r w:rsidRPr="00156C6D">
              <w:t xml:space="preserve"> pārliecinās par to, ka tam iesniegtais līgums/vienošanās par intelektuālā īpašuma sadali atbilst efektīvas sadarbības nosacījum</w:t>
            </w:r>
            <w:r>
              <w:t>ie</w:t>
            </w:r>
            <w:r w:rsidRPr="00156C6D">
              <w:t>m un ka vienošanās atbilst valsts atbalsta normām</w:t>
            </w:r>
            <w:r>
              <w:t>, kad un ja tādas ir attiecināmas.</w:t>
            </w:r>
          </w:p>
        </w:tc>
      </w:tr>
      <w:tr w:rsidR="00FE267B" w:rsidRPr="00E54D60" w14:paraId="2FE4A809" w14:textId="77777777" w:rsidTr="002319D2">
        <w:trPr>
          <w:cantSplit/>
          <w:trHeight w:val="1134"/>
        </w:trPr>
        <w:tc>
          <w:tcPr>
            <w:cnfStyle w:val="001000000000" w:firstRow="0" w:lastRow="0" w:firstColumn="1" w:lastColumn="0" w:oddVBand="0" w:evenVBand="0" w:oddHBand="0" w:evenHBand="0" w:firstRowFirstColumn="0" w:firstRowLastColumn="0" w:lastRowFirstColumn="0" w:lastRowLastColumn="0"/>
            <w:tcW w:w="895" w:type="dxa"/>
          </w:tcPr>
          <w:p w14:paraId="7E56D70C" w14:textId="6CC6B16F" w:rsidR="00D045E4" w:rsidRPr="00701789" w:rsidRDefault="00D045E4" w:rsidP="00714045">
            <w:r>
              <w:lastRenderedPageBreak/>
              <w:t>8.</w:t>
            </w:r>
          </w:p>
        </w:tc>
        <w:tc>
          <w:tcPr>
            <w:tcW w:w="1170" w:type="dxa"/>
          </w:tcPr>
          <w:p w14:paraId="6484DB46" w14:textId="1D91E03E" w:rsidR="00D045E4" w:rsidRDefault="00D045E4" w:rsidP="00714045">
            <w:pPr>
              <w:cnfStyle w:val="000000000000" w:firstRow="0" w:lastRow="0" w:firstColumn="0" w:lastColumn="0" w:oddVBand="0" w:evenVBand="0" w:oddHBand="0" w:evenHBand="0" w:firstRowFirstColumn="0" w:firstRowLastColumn="0" w:lastRowFirstColumn="0" w:lastRowLastColumn="0"/>
            </w:pPr>
            <w:r>
              <w:t>Citi</w:t>
            </w:r>
          </w:p>
        </w:tc>
        <w:tc>
          <w:tcPr>
            <w:tcW w:w="1440" w:type="dxa"/>
          </w:tcPr>
          <w:p w14:paraId="57DCE645" w14:textId="00547A2D" w:rsidR="00D045E4" w:rsidRDefault="00D045E4" w:rsidP="00714045">
            <w:pPr>
              <w:cnfStyle w:val="000000000000" w:firstRow="0" w:lastRow="0" w:firstColumn="0" w:lastColumn="0" w:oddVBand="0" w:evenVBand="0" w:oddHBand="0" w:evenHBand="0" w:firstRowFirstColumn="0" w:firstRowLastColumn="0" w:lastRowFirstColumn="0" w:lastRowLastColumn="0"/>
            </w:pPr>
            <w:r>
              <w:t>Covid-19 vai līdzīgu pandēmiju iestāšanās, kas apdraud savlaicīgu projektu īstenošanu</w:t>
            </w:r>
          </w:p>
        </w:tc>
        <w:tc>
          <w:tcPr>
            <w:tcW w:w="540" w:type="dxa"/>
            <w:textDirection w:val="btLr"/>
          </w:tcPr>
          <w:p w14:paraId="507AB6BD" w14:textId="43DFC70C" w:rsidR="00D045E4" w:rsidRDefault="00D045E4" w:rsidP="002319D2">
            <w:pPr>
              <w:jc w:val="center"/>
              <w:cnfStyle w:val="000000000000" w:firstRow="0" w:lastRow="0" w:firstColumn="0" w:lastColumn="0" w:oddVBand="0" w:evenVBand="0" w:oddHBand="0" w:evenHBand="0" w:firstRowFirstColumn="0" w:firstRowLastColumn="0" w:lastRowFirstColumn="0" w:lastRowLastColumn="0"/>
            </w:pPr>
            <w:r>
              <w:t>Vidēja</w:t>
            </w:r>
          </w:p>
        </w:tc>
        <w:tc>
          <w:tcPr>
            <w:tcW w:w="900" w:type="dxa"/>
            <w:textDirection w:val="btLr"/>
          </w:tcPr>
          <w:p w14:paraId="0EC14A0E" w14:textId="7AE3E1C3" w:rsidR="00D045E4" w:rsidRDefault="00D045E4" w:rsidP="002319D2">
            <w:pPr>
              <w:jc w:val="center"/>
              <w:cnfStyle w:val="000000000000" w:firstRow="0" w:lastRow="0" w:firstColumn="0" w:lastColumn="0" w:oddVBand="0" w:evenVBand="0" w:oddHBand="0" w:evenHBand="0" w:firstRowFirstColumn="0" w:firstRowLastColumn="0" w:lastRowFirstColumn="0" w:lastRowLastColumn="0"/>
            </w:pPr>
            <w:r>
              <w:t>Augsta</w:t>
            </w:r>
          </w:p>
        </w:tc>
        <w:tc>
          <w:tcPr>
            <w:tcW w:w="4500" w:type="dxa"/>
          </w:tcPr>
          <w:p w14:paraId="1358EC3B" w14:textId="77777777" w:rsidR="00D045E4" w:rsidRDefault="00D045E4" w:rsidP="00714045">
            <w:pPr>
              <w:cnfStyle w:val="000000000000" w:firstRow="0" w:lastRow="0" w:firstColumn="0" w:lastColumn="0" w:oddVBand="0" w:evenVBand="0" w:oddHBand="0" w:evenHBand="0" w:firstRowFirstColumn="0" w:firstRowLastColumn="0" w:lastRowFirstColumn="0" w:lastRowLastColumn="0"/>
            </w:pPr>
            <w:r w:rsidRPr="0029157B">
              <w:rPr>
                <w:b/>
              </w:rPr>
              <w:t>Novēršana -</w:t>
            </w:r>
            <w:r>
              <w:rPr>
                <w:b/>
              </w:rPr>
              <w:t xml:space="preserve"> </w:t>
            </w:r>
            <w:r w:rsidRPr="0029157B">
              <w:t>nav efektīvu līdzekļu šo risku novēršanai</w:t>
            </w:r>
            <w:r>
              <w:t>,</w:t>
            </w:r>
            <w:r w:rsidRPr="0029157B">
              <w:t xml:space="preserve"> jo notikumi ir ārēji.</w:t>
            </w:r>
          </w:p>
          <w:p w14:paraId="556B469C" w14:textId="77777777" w:rsidR="00D045E4" w:rsidRDefault="00D045E4" w:rsidP="00714045">
            <w:pPr>
              <w:keepLines w:val="0"/>
              <w:cnfStyle w:val="000000000000" w:firstRow="0" w:lastRow="0" w:firstColumn="0" w:lastColumn="0" w:oddVBand="0" w:evenVBand="0" w:oddHBand="0" w:evenHBand="0" w:firstRowFirstColumn="0" w:firstRowLastColumn="0" w:lastRowFirstColumn="0" w:lastRowLastColumn="0"/>
            </w:pPr>
            <w:r w:rsidRPr="00156C6D">
              <w:rPr>
                <w:b/>
              </w:rPr>
              <w:t>Ietekmes mazināšana</w:t>
            </w:r>
            <w:r w:rsidRPr="00156C6D">
              <w:t xml:space="preserve"> </w:t>
            </w:r>
            <w:r>
              <w:t>– Kompetences centrs regulāri sekos līdzi valsts iestāžu sniegtajai informācijai saistībā ar ieviestajiem epidemioloģiskajiem drošības pasākumiem un Slimību un profilakses kontroles centra</w:t>
            </w:r>
          </w:p>
          <w:p w14:paraId="0F80AAD6" w14:textId="77777777" w:rsidR="00D045E4" w:rsidRDefault="00D045E4" w:rsidP="00714045">
            <w:pPr>
              <w:keepLines w:val="0"/>
              <w:cnfStyle w:val="000000000000" w:firstRow="0" w:lastRow="0" w:firstColumn="0" w:lastColumn="0" w:oddVBand="0" w:evenVBand="0" w:oddHBand="0" w:evenHBand="0" w:firstRowFirstColumn="0" w:firstRowLastColumn="0" w:lastRowFirstColumn="0" w:lastRowLastColumn="0"/>
            </w:pPr>
            <w:r>
              <w:t>(turpmāk SPKC) interneta vietnē (https://spkc.gov.lv/lv/) sniegtajām rekomendācijām, par to nepieciešamības gadījumā informējot arī sadarbības partnerus;</w:t>
            </w:r>
          </w:p>
          <w:p w14:paraId="2842A2F3" w14:textId="56269740" w:rsidR="00D045E4" w:rsidRPr="00156C6D" w:rsidRDefault="00D045E4" w:rsidP="00714045">
            <w:pPr>
              <w:keepLines w:val="0"/>
              <w:jc w:val="left"/>
              <w:cnfStyle w:val="000000000000" w:firstRow="0" w:lastRow="0" w:firstColumn="0" w:lastColumn="0" w:oddVBand="0" w:evenVBand="0" w:oddHBand="0" w:evenHBand="0" w:firstRowFirstColumn="0" w:firstRowLastColumn="0" w:lastRowFirstColumn="0" w:lastRowLastColumn="0"/>
              <w:rPr>
                <w:b/>
              </w:rPr>
            </w:pPr>
            <w:r>
              <w:t>Projektu izvērtēšanas laikā tiks pievērsta uzmanība katra individuālā projekta risku izvērtējumam attiecībā uz projekta mērķu sasniegšanas iespējamību dažādu pandēmiju iestāšanās gadījumā.</w:t>
            </w:r>
          </w:p>
        </w:tc>
      </w:tr>
      <w:tr w:rsidR="00FE267B" w:rsidRPr="00E54D60" w14:paraId="16AF6CD6" w14:textId="77777777" w:rsidTr="002319D2">
        <w:trPr>
          <w:cantSplit/>
          <w:trHeight w:val="1134"/>
        </w:trPr>
        <w:tc>
          <w:tcPr>
            <w:cnfStyle w:val="001000000000" w:firstRow="0" w:lastRow="0" w:firstColumn="1" w:lastColumn="0" w:oddVBand="0" w:evenVBand="0" w:oddHBand="0" w:evenHBand="0" w:firstRowFirstColumn="0" w:firstRowLastColumn="0" w:lastRowFirstColumn="0" w:lastRowLastColumn="0"/>
            <w:tcW w:w="895" w:type="dxa"/>
          </w:tcPr>
          <w:p w14:paraId="3076D057" w14:textId="21856558" w:rsidR="00D045E4" w:rsidRPr="00701789" w:rsidRDefault="00D045E4" w:rsidP="00714045">
            <w:r>
              <w:t>9.</w:t>
            </w:r>
          </w:p>
        </w:tc>
        <w:tc>
          <w:tcPr>
            <w:tcW w:w="1170" w:type="dxa"/>
          </w:tcPr>
          <w:p w14:paraId="59235566" w14:textId="158D9473" w:rsidR="00D045E4" w:rsidRDefault="00D045E4" w:rsidP="00714045">
            <w:pPr>
              <w:cnfStyle w:val="000000000000" w:firstRow="0" w:lastRow="0" w:firstColumn="0" w:lastColumn="0" w:oddVBand="0" w:evenVBand="0" w:oddHBand="0" w:evenHBand="0" w:firstRowFirstColumn="0" w:firstRowLastColumn="0" w:lastRowFirstColumn="0" w:lastRowLastColumn="0"/>
            </w:pPr>
            <w:r>
              <w:t>Citi</w:t>
            </w:r>
          </w:p>
        </w:tc>
        <w:tc>
          <w:tcPr>
            <w:tcW w:w="1440" w:type="dxa"/>
          </w:tcPr>
          <w:p w14:paraId="3B9018F3" w14:textId="7384AB15" w:rsidR="00D045E4" w:rsidRDefault="00D045E4" w:rsidP="00714045">
            <w:pPr>
              <w:cnfStyle w:val="000000000000" w:firstRow="0" w:lastRow="0" w:firstColumn="0" w:lastColumn="0" w:oddVBand="0" w:evenVBand="0" w:oddHBand="0" w:evenHBand="0" w:firstRowFirstColumn="0" w:firstRowLastColumn="0" w:lastRowFirstColumn="0" w:lastRowLastColumn="0"/>
            </w:pPr>
            <w:r w:rsidRPr="00432A18">
              <w:t>Krievijas kara Ukrainā radītās sekas</w:t>
            </w:r>
          </w:p>
        </w:tc>
        <w:tc>
          <w:tcPr>
            <w:tcW w:w="540" w:type="dxa"/>
            <w:textDirection w:val="btLr"/>
          </w:tcPr>
          <w:p w14:paraId="2219F586" w14:textId="43A44462" w:rsidR="00D045E4" w:rsidRDefault="00D045E4" w:rsidP="002319D2">
            <w:pPr>
              <w:jc w:val="center"/>
              <w:cnfStyle w:val="000000000000" w:firstRow="0" w:lastRow="0" w:firstColumn="0" w:lastColumn="0" w:oddVBand="0" w:evenVBand="0" w:oddHBand="0" w:evenHBand="0" w:firstRowFirstColumn="0" w:firstRowLastColumn="0" w:lastRowFirstColumn="0" w:lastRowLastColumn="0"/>
            </w:pPr>
            <w:r>
              <w:t>Vidēja</w:t>
            </w:r>
          </w:p>
        </w:tc>
        <w:tc>
          <w:tcPr>
            <w:tcW w:w="900" w:type="dxa"/>
            <w:textDirection w:val="btLr"/>
          </w:tcPr>
          <w:p w14:paraId="58ECE7F3" w14:textId="0FE031E8" w:rsidR="00D045E4" w:rsidRDefault="00D045E4" w:rsidP="002319D2">
            <w:pPr>
              <w:jc w:val="center"/>
              <w:cnfStyle w:val="000000000000" w:firstRow="0" w:lastRow="0" w:firstColumn="0" w:lastColumn="0" w:oddVBand="0" w:evenVBand="0" w:oddHBand="0" w:evenHBand="0" w:firstRowFirstColumn="0" w:firstRowLastColumn="0" w:lastRowFirstColumn="0" w:lastRowLastColumn="0"/>
            </w:pPr>
            <w:r>
              <w:t>Augsta</w:t>
            </w:r>
          </w:p>
        </w:tc>
        <w:tc>
          <w:tcPr>
            <w:tcW w:w="4500" w:type="dxa"/>
          </w:tcPr>
          <w:p w14:paraId="26E73DA4" w14:textId="77777777" w:rsidR="00D045E4" w:rsidRDefault="00D045E4" w:rsidP="00714045">
            <w:pPr>
              <w:cnfStyle w:val="000000000000" w:firstRow="0" w:lastRow="0" w:firstColumn="0" w:lastColumn="0" w:oddVBand="0" w:evenVBand="0" w:oddHBand="0" w:evenHBand="0" w:firstRowFirstColumn="0" w:firstRowLastColumn="0" w:lastRowFirstColumn="0" w:lastRowLastColumn="0"/>
            </w:pPr>
            <w:r w:rsidRPr="0029157B">
              <w:rPr>
                <w:b/>
              </w:rPr>
              <w:t>Novēršana -</w:t>
            </w:r>
            <w:r>
              <w:rPr>
                <w:b/>
              </w:rPr>
              <w:t xml:space="preserve"> </w:t>
            </w:r>
            <w:r w:rsidRPr="0029157B">
              <w:t>nav efektīvu līdzekļu šo risku novēršanai</w:t>
            </w:r>
            <w:r>
              <w:t>,</w:t>
            </w:r>
            <w:r w:rsidRPr="0029157B">
              <w:t xml:space="preserve"> jo notikumi ir ārēji.</w:t>
            </w:r>
          </w:p>
          <w:p w14:paraId="10348470" w14:textId="77777777" w:rsidR="00D045E4" w:rsidRPr="00E41CB4" w:rsidRDefault="00D045E4" w:rsidP="00714045">
            <w:pPr>
              <w:cnfStyle w:val="000000000000" w:firstRow="0" w:lastRow="0" w:firstColumn="0" w:lastColumn="0" w:oddVBand="0" w:evenVBand="0" w:oddHBand="0" w:evenHBand="0" w:firstRowFirstColumn="0" w:firstRowLastColumn="0" w:lastRowFirstColumn="0" w:lastRowLastColumn="0"/>
            </w:pPr>
            <w:r w:rsidRPr="00156C6D">
              <w:rPr>
                <w:b/>
              </w:rPr>
              <w:t>Ietekmes mazināšana</w:t>
            </w:r>
            <w:r w:rsidRPr="00156C6D">
              <w:t xml:space="preserve"> -</w:t>
            </w:r>
            <w:r w:rsidRPr="00156C6D">
              <w:rPr>
                <w:b/>
              </w:rPr>
              <w:t xml:space="preserve"> </w:t>
            </w:r>
            <w:r w:rsidRPr="00E41CB4">
              <w:t>Kompetenc</w:t>
            </w:r>
            <w:r>
              <w:t>e</w:t>
            </w:r>
            <w:r w:rsidRPr="00E41CB4">
              <w:t>s centrs sekos līdzi piemērotajām Starptautiskajām sankcijām, pārtrauks jebkādu sadarbību ar sankcionētiem uzņēmumiem un personām;</w:t>
            </w:r>
          </w:p>
          <w:p w14:paraId="49C97795" w14:textId="77777777" w:rsidR="00D045E4" w:rsidRDefault="00D045E4" w:rsidP="00714045">
            <w:pPr>
              <w:cnfStyle w:val="000000000000" w:firstRow="0" w:lastRow="0" w:firstColumn="0" w:lastColumn="0" w:oddVBand="0" w:evenVBand="0" w:oddHBand="0" w:evenHBand="0" w:firstRowFirstColumn="0" w:firstRowLastColumn="0" w:lastRowFirstColumn="0" w:lastRowLastColumn="0"/>
            </w:pPr>
            <w:r w:rsidRPr="00E41CB4">
              <w:t xml:space="preserve">Regulāri tiks izvērtēta sadarbība ar Krievijas un Baltkrievijas uzņēmumiem un personām, izvērtējot iespēju </w:t>
            </w:r>
            <w:r>
              <w:t>to pārtraukt</w:t>
            </w:r>
            <w:r w:rsidRPr="00E41CB4">
              <w:t xml:space="preserve">, ņemot vērā </w:t>
            </w:r>
            <w:r>
              <w:t xml:space="preserve">iespējamas grūtības </w:t>
            </w:r>
            <w:r w:rsidRPr="00E41CB4">
              <w:t>piegādes</w:t>
            </w:r>
            <w:r>
              <w:t xml:space="preserve"> un </w:t>
            </w:r>
            <w:r w:rsidRPr="00E41CB4">
              <w:t>maksājum</w:t>
            </w:r>
            <w:r>
              <w:t>u turpināšanā,</w:t>
            </w:r>
            <w:r w:rsidRPr="00E41CB4">
              <w:t xml:space="preserve"> </w:t>
            </w:r>
            <w:r>
              <w:t xml:space="preserve"> kā arī </w:t>
            </w:r>
            <w:r w:rsidRPr="00E41CB4">
              <w:t>Starptautisko sankciju paplašināšan</w:t>
            </w:r>
            <w:r>
              <w:t>os</w:t>
            </w:r>
            <w:r w:rsidRPr="00E41CB4">
              <w:t xml:space="preserve"> nākotnē </w:t>
            </w:r>
            <w:r>
              <w:t>(t.sk.</w:t>
            </w:r>
            <w:r w:rsidRPr="00E41CB4">
              <w:t xml:space="preserve"> ētiskos un reputācijas aspektus</w:t>
            </w:r>
            <w:r>
              <w:t>);</w:t>
            </w:r>
          </w:p>
          <w:p w14:paraId="138B400E" w14:textId="50FD6020" w:rsidR="00D045E4" w:rsidRPr="00156C6D" w:rsidRDefault="00D045E4" w:rsidP="00714045">
            <w:pPr>
              <w:keepLines w:val="0"/>
              <w:jc w:val="left"/>
              <w:cnfStyle w:val="000000000000" w:firstRow="0" w:lastRow="0" w:firstColumn="0" w:lastColumn="0" w:oddVBand="0" w:evenVBand="0" w:oddHBand="0" w:evenHBand="0" w:firstRowFirstColumn="0" w:firstRowLastColumn="0" w:lastRowFirstColumn="0" w:lastRowLastColumn="0"/>
              <w:rPr>
                <w:b/>
              </w:rPr>
            </w:pPr>
            <w:r w:rsidRPr="00E41CB4">
              <w:t xml:space="preserve">Vienlaikus </w:t>
            </w:r>
            <w:r>
              <w:t>tiks</w:t>
            </w:r>
            <w:r w:rsidRPr="00E41CB4">
              <w:t xml:space="preserve"> izvērtēt</w:t>
            </w:r>
            <w:r>
              <w:t>a</w:t>
            </w:r>
            <w:r w:rsidRPr="00E41CB4">
              <w:t xml:space="preserve"> kara seku ietekm</w:t>
            </w:r>
            <w:r>
              <w:t>e</w:t>
            </w:r>
            <w:r w:rsidRPr="00E41CB4">
              <w:t xml:space="preserve"> uz to līgumu izpildi, kur iesaistīti Ukrainas</w:t>
            </w:r>
            <w:r>
              <w:t>, kā arī citi uzņēmumi.</w:t>
            </w:r>
          </w:p>
        </w:tc>
      </w:tr>
    </w:tbl>
    <w:p w14:paraId="17F0DBB8" w14:textId="77777777" w:rsidR="00872E34" w:rsidRPr="00C52C14" w:rsidRDefault="00872E34" w:rsidP="00872E34">
      <w:pPr>
        <w:rPr>
          <w:highlight w:val="yellow"/>
        </w:rPr>
      </w:pPr>
    </w:p>
    <w:p w14:paraId="0E29DD1E" w14:textId="49B80872" w:rsidR="00872E34" w:rsidRDefault="00872E34" w:rsidP="00872E34">
      <w:pPr>
        <w:pStyle w:val="Heading1"/>
        <w:pageBreakBefore w:val="0"/>
        <w:shd w:val="clear" w:color="auto" w:fill="auto"/>
        <w:spacing w:after="0"/>
        <w:ind w:left="432" w:hanging="432"/>
        <w:contextualSpacing w:val="0"/>
        <w:jc w:val="left"/>
      </w:pPr>
      <w:bookmarkStart w:id="73" w:name="_Toc450350214"/>
      <w:bookmarkStart w:id="74" w:name="_Toc450925119"/>
      <w:bookmarkStart w:id="75" w:name="_Toc119072234"/>
      <w:bookmarkEnd w:id="72"/>
      <w:r w:rsidRPr="00B17BD9">
        <w:lastRenderedPageBreak/>
        <w:t>Kompetences centra vīzija par ilgtspēju</w:t>
      </w:r>
      <w:bookmarkEnd w:id="73"/>
      <w:bookmarkEnd w:id="74"/>
      <w:bookmarkEnd w:id="75"/>
    </w:p>
    <w:p w14:paraId="3428DADA" w14:textId="4D499028" w:rsidR="00960B87" w:rsidRPr="00960B87" w:rsidRDefault="00960B87" w:rsidP="00960B87">
      <w:r w:rsidRPr="007B4A2E">
        <w:t>Kompetences centrs nodrošina pēctecību, kā arī zināšanu un kompetenču pārņemšanu n</w:t>
      </w:r>
      <w:r>
        <w:t xml:space="preserve">o iepriekšējā periodā gūtās pieredzes. </w:t>
      </w:r>
      <w:r w:rsidRPr="007B4A2E">
        <w:t xml:space="preserve">Tiks īstenota KC atbilstīgo jomu kompetenču akumulēšana un nodrošināti ilgtermiņa uzturēšanas pasākumi, ņemot vērā, ka </w:t>
      </w:r>
      <w:r w:rsidR="00673E68">
        <w:t>FBMTKC</w:t>
      </w:r>
      <w:r w:rsidRPr="007B4A2E">
        <w:t xml:space="preserve"> ir sadarbības platforma starp komersantiem un pētniecības un zināšanu izplatīšanas organizācijām (zinātniskajām institūcijām). Lai nodrošinātu Kompet</w:t>
      </w:r>
      <w:r>
        <w:t>e</w:t>
      </w:r>
      <w:r w:rsidRPr="007B4A2E">
        <w:t>nces centrā īstenoto projektu ilgtspēju</w:t>
      </w:r>
      <w:r>
        <w:t xml:space="preserve">, </w:t>
      </w:r>
      <w:r w:rsidRPr="007B4A2E">
        <w:t>tiks ievērots horizontālais princips “Ilg</w:t>
      </w:r>
      <w:r>
        <w:t>t</w:t>
      </w:r>
      <w:r w:rsidRPr="007B4A2E">
        <w:t>spējīga attīstība” (t.sk. ekoinovatīvu tehnolo</w:t>
      </w:r>
      <w:r>
        <w:t>ģi</w:t>
      </w:r>
      <w:r w:rsidRPr="007B4A2E">
        <w:t>ju ieviešana un attīstība), kā arī starpnozaru un starptautiskā sadarbība zināšanu efektīvai pārnesei, akumulēšanai un inovāciju stim</w:t>
      </w:r>
      <w:r>
        <w:t>u</w:t>
      </w:r>
      <w:r w:rsidRPr="007B4A2E">
        <w:t xml:space="preserve">lēšanai. Arī dalībnieku atlases procesā tiks pievērsta pastiprināta pētījumu projektu ilgtspējai, </w:t>
      </w:r>
      <w:r>
        <w:t>tā</w:t>
      </w:r>
      <w:r w:rsidRPr="007B4A2E">
        <w:t>dējādi veicinot kvalitatīva privātā līdzfinansējuma piesaisti kompetences</w:t>
      </w:r>
      <w:r>
        <w:t xml:space="preserve"> centra</w:t>
      </w:r>
      <w:r w:rsidRPr="007B4A2E">
        <w:t xml:space="preserve"> ilgtspējas nodrošināšanai. Tiks veikts ilgtspējas rādītāju monitorings</w:t>
      </w:r>
      <w:r>
        <w:t>.</w:t>
      </w:r>
    </w:p>
    <w:p w14:paraId="77146F02" w14:textId="77777777" w:rsidR="00872E34" w:rsidRDefault="00872E34" w:rsidP="00872E34">
      <w:r>
        <w:t>Kompetences centra ilgtspējas jautājumus var sadalīt sekojošās komponentēs:</w:t>
      </w:r>
    </w:p>
    <w:p w14:paraId="65F398E2" w14:textId="77777777" w:rsidR="00872E34" w:rsidRDefault="00872E34" w:rsidP="006F31C1">
      <w:pPr>
        <w:pStyle w:val="BulletsF"/>
        <w:numPr>
          <w:ilvl w:val="0"/>
          <w:numId w:val="18"/>
        </w:numPr>
        <w:spacing w:before="120"/>
      </w:pPr>
      <w:r>
        <w:t>Kompetences centra, kā sadarbības platformas ilgtspēja:</w:t>
      </w:r>
    </w:p>
    <w:p w14:paraId="4D3D0B5D" w14:textId="77777777" w:rsidR="00872E34" w:rsidRDefault="00872E34" w:rsidP="006F31C1">
      <w:pPr>
        <w:pStyle w:val="2LBulletsF"/>
        <w:numPr>
          <w:ilvl w:val="0"/>
          <w:numId w:val="18"/>
        </w:numPr>
        <w:spacing w:after="0"/>
        <w:ind w:left="2084"/>
      </w:pPr>
      <w:r>
        <w:t>Sadarbības platformas ilgtspēja neatkarīgi no juridiskās vienības ietvara;</w:t>
      </w:r>
    </w:p>
    <w:p w14:paraId="39E9D2E4" w14:textId="77777777" w:rsidR="00872E34" w:rsidRDefault="00872E34" w:rsidP="006F31C1">
      <w:pPr>
        <w:pStyle w:val="2LBulletsF"/>
        <w:numPr>
          <w:ilvl w:val="0"/>
          <w:numId w:val="18"/>
        </w:numPr>
        <w:spacing w:after="0"/>
        <w:ind w:left="2084"/>
      </w:pPr>
      <w:r>
        <w:t>Sadarbības platformas ilgtspēja konkrētas juridiskās vienības ietvaros;</w:t>
      </w:r>
    </w:p>
    <w:p w14:paraId="5A4C4214" w14:textId="77777777" w:rsidR="00872E34" w:rsidRDefault="00872E34" w:rsidP="006F31C1">
      <w:pPr>
        <w:pStyle w:val="BulletsF"/>
        <w:numPr>
          <w:ilvl w:val="0"/>
          <w:numId w:val="18"/>
        </w:numPr>
        <w:spacing w:before="120"/>
      </w:pPr>
      <w:r>
        <w:t>Kompetences centra ietekme uz tautsaimniecības konkurētspēju un šīs ietekmes noturīgums;</w:t>
      </w:r>
    </w:p>
    <w:p w14:paraId="3A8FDD85" w14:textId="77777777" w:rsidR="00872E34" w:rsidRDefault="00872E34" w:rsidP="006F31C1">
      <w:pPr>
        <w:pStyle w:val="2LBulletsF"/>
        <w:numPr>
          <w:ilvl w:val="0"/>
          <w:numId w:val="18"/>
        </w:numPr>
        <w:spacing w:after="0"/>
        <w:ind w:left="2084"/>
      </w:pPr>
      <w:r>
        <w:t>Tirgus spēlētāju uzvedības maiņa Kompetences centra ietekmē un šīs uzvedības maiņas noturīgums;</w:t>
      </w:r>
    </w:p>
    <w:p w14:paraId="3C321281" w14:textId="77777777" w:rsidR="00872E34" w:rsidRDefault="00872E34" w:rsidP="006F31C1">
      <w:pPr>
        <w:pStyle w:val="2LBulletsF"/>
        <w:numPr>
          <w:ilvl w:val="0"/>
          <w:numId w:val="18"/>
        </w:numPr>
        <w:spacing w:after="0"/>
        <w:ind w:left="2084"/>
      </w:pPr>
      <w:r>
        <w:t>Sadarbības noturīgums;</w:t>
      </w:r>
    </w:p>
    <w:p w14:paraId="67FCBAE0" w14:textId="77777777" w:rsidR="00872E34" w:rsidRDefault="00872E34" w:rsidP="006F31C1">
      <w:pPr>
        <w:pStyle w:val="2LBulletsF"/>
        <w:numPr>
          <w:ilvl w:val="0"/>
          <w:numId w:val="18"/>
        </w:numPr>
        <w:spacing w:after="0"/>
        <w:ind w:left="2084"/>
      </w:pPr>
      <w:r>
        <w:t>P&amp;A&amp;I ieguldījumu noturīgums;</w:t>
      </w:r>
    </w:p>
    <w:p w14:paraId="6599FF4F" w14:textId="441FFC31" w:rsidR="00872E34" w:rsidRPr="00352C36" w:rsidRDefault="00872E34" w:rsidP="006F31C1">
      <w:pPr>
        <w:pStyle w:val="2LBulletsF"/>
        <w:numPr>
          <w:ilvl w:val="0"/>
          <w:numId w:val="18"/>
        </w:numPr>
        <w:spacing w:after="0"/>
        <w:ind w:left="2084"/>
      </w:pPr>
      <w:r w:rsidRPr="00352C36">
        <w:t>Produktu groza</w:t>
      </w:r>
      <w:r w:rsidR="00233CAC" w:rsidRPr="00352C36">
        <w:t xml:space="preserve"> regulāras</w:t>
      </w:r>
      <w:r w:rsidRPr="00352C36">
        <w:t xml:space="preserve"> </w:t>
      </w:r>
      <w:r w:rsidR="00233CAC" w:rsidRPr="00352C36">
        <w:t>atjaunošanas</w:t>
      </w:r>
      <w:r w:rsidRPr="00352C36">
        <w:t xml:space="preserve"> un zināšanu ietilpības noturīgums;</w:t>
      </w:r>
    </w:p>
    <w:p w14:paraId="5FE47508" w14:textId="13F14F0C" w:rsidR="00872E34" w:rsidRPr="00352C36" w:rsidRDefault="00872E34" w:rsidP="006F31C1">
      <w:pPr>
        <w:pStyle w:val="2LBulletsF"/>
        <w:numPr>
          <w:ilvl w:val="0"/>
          <w:numId w:val="18"/>
        </w:numPr>
        <w:spacing w:after="0"/>
        <w:ind w:left="2084"/>
      </w:pPr>
      <w:r w:rsidRPr="00352C36">
        <w:t xml:space="preserve">Ilgtermiņa plānošanas </w:t>
      </w:r>
      <w:r w:rsidR="00233CAC" w:rsidRPr="00352C36">
        <w:t>procedūr</w:t>
      </w:r>
      <w:r w:rsidR="00571CCA" w:rsidRPr="00352C36">
        <w:t>u</w:t>
      </w:r>
      <w:r w:rsidR="00233CAC" w:rsidRPr="00352C36">
        <w:t xml:space="preserve"> un kultūras noturīgums</w:t>
      </w:r>
      <w:r w:rsidR="00443020" w:rsidRPr="00352C36">
        <w:t>.</w:t>
      </w:r>
      <w:r w:rsidRPr="00352C36">
        <w:t>;</w:t>
      </w:r>
    </w:p>
    <w:p w14:paraId="5A6A8CFF" w14:textId="77777777" w:rsidR="00872E34" w:rsidRDefault="00872E34" w:rsidP="006F31C1">
      <w:pPr>
        <w:pStyle w:val="BulletsF"/>
        <w:numPr>
          <w:ilvl w:val="0"/>
          <w:numId w:val="18"/>
        </w:numPr>
        <w:spacing w:before="120"/>
      </w:pPr>
      <w:r>
        <w:t>Kompetences centrā veikto pētījumu rezultātu ietekme uz konkurētspēju, šo pētījumu rezultātu, produktu prototipu dzīves cikls;</w:t>
      </w:r>
    </w:p>
    <w:p w14:paraId="44AFEB5A" w14:textId="77777777" w:rsidR="00872E34" w:rsidRDefault="00872E34" w:rsidP="006F31C1">
      <w:pPr>
        <w:pStyle w:val="BulletsF"/>
        <w:numPr>
          <w:ilvl w:val="0"/>
          <w:numId w:val="18"/>
        </w:numPr>
        <w:spacing w:before="120"/>
      </w:pPr>
      <w:r>
        <w:t>Kompetences centrā veikto pētījumu akumulēšana un uzturēšana ilgtermiņā.</w:t>
      </w:r>
    </w:p>
    <w:p w14:paraId="2BE4B7EF" w14:textId="77777777" w:rsidR="00872E34" w:rsidRDefault="00872E34" w:rsidP="00872E34">
      <w:r>
        <w:t>Kompetences centra, kā konkrētas juridiskas personas ilgtspēja ir jautājums, kas pamatā saistīts ar juridiskā ietvara ierobežojumiem. Konkrēti, Kompetences centra juridiskā forma ir Sabiedrība ar Ierobežotu Atbildību, kuru regulē komerclikums. No Kompetences centra viedokļa ierobežojumi, ko nosaka Sabiedrības ar Ierobežotu atbildību forma, ir būtiski, lai būtu pamatoti, konkrētajā gadījumā, veidot jaunu juridisko personu paralēli saglabājot iepriekšējo, lai ne tikai faktiski, bet arī formāli nodrošinātu iepriekšējās juridiskās personas ietvaros radīto rezultātu ilgtspēju plānotajā termiņā. Proti, pamata problēma ir tāda, ka Komerclikums neparedz efektīvu mehānismu, lai Sabiedrības daļas pārņemtu no tādiem dibinātājiem, kuriem nav intereses, spēju, vēlmes realizēt projektus vai piedalīties Kompetences centra darbībā, ja šie dibinātāji nevēlas šīs daļas nodot. Rezultātā Kompetences centrā ir virkne dibinātāju, kuru intereses kādā brīdī atšķiras no Kompetences centra mērķiem, vai kuri atrodas maksātnespējas situācijā. Kompetences centrs plāno veikt juridisko analīzi, lai vidējā termiņā izvērtētu citu juridisku risinājumu, sadarbības platformas labākai juridiskās vienības ilgtspējai, līdzsvarojot Kompetences centra vajadzības ar saprātīgu un iespējami vienkāršu pārvaldības modeli.</w:t>
      </w:r>
    </w:p>
    <w:p w14:paraId="0071164F" w14:textId="5E352CC3" w:rsidR="00872E34" w:rsidRDefault="00872E34" w:rsidP="00872E34">
      <w:r>
        <w:t>Atrisinot juridiskos ierobežojumus</w:t>
      </w:r>
      <w:r w:rsidR="00960B87">
        <w:t>,</w:t>
      </w:r>
      <w:r>
        <w:t xml:space="preserve"> Kompetences centrs, kā sadarbības platforma var turpināt darbību arī kā juridiska vienība, turpinot piesaistīt privāto un publisko finansējumu, konkurētspējas celšanai vajadzīgu pētījumu veikšanai.</w:t>
      </w:r>
    </w:p>
    <w:p w14:paraId="0D7176F2" w14:textId="77777777" w:rsidR="00872E34" w:rsidRDefault="00872E34" w:rsidP="00872E34">
      <w:r>
        <w:lastRenderedPageBreak/>
        <w:t>Kompetences centrs var nostiprināt sadarbības modeļus starp Komercsabiedrībām un Pētniecības Organizācijām. Jebkuras sadarbības atslēgas kompetence ir uzticība. Uzticību vislabāk veido veiksmīgi īstenoti, kopīgi darbi. Kompetences centrā ir pierādījies, ka Kompetences centrs var būt noteicošais stimuls un platforma pirmās sadarbības uzsākšanai, kas ir izšķirošs solis uzticības izveidošanai. Pēc pirmā projekta sadarbība turpinās arī bez Kompetences centra līdzdalības, kas ir būtisks ilgtspējas rādītājs. Ņemot vērā to, ka visas puses ir tīklotas, šīs iegūtās uzticības efekti ir jūtami arī plašākā mērogā. T.i. arī iesaistīto komercsabiedrību partneri un PO partneri ir atvērtāki sadarbībai kopīgos projektos.</w:t>
      </w:r>
    </w:p>
    <w:p w14:paraId="20A64FF4" w14:textId="3A37EF8E" w:rsidR="00CA0AD8" w:rsidRDefault="00872E34" w:rsidP="00872E34">
      <w:r>
        <w:t>Kompetences centra ietekmi uz tautsaimniecību ilgtspēju nosaka tas, cik pozitīvs efekts uz Sadarbības partneru konkurētspēju un peļņu ir Kompetences centrā veiktajiem pētījumiem</w:t>
      </w:r>
      <w:r w:rsidR="00571CCA">
        <w:t>,</w:t>
      </w:r>
      <w:r>
        <w:t xml:space="preserve"> </w:t>
      </w:r>
      <w:r w:rsidR="00571CCA">
        <w:t>t</w:t>
      </w:r>
      <w:r>
        <w:t>.i. ilgtspējas pamatā ir Sadarbības partneru finansiāls pamatojums turpināt pētījumus, orientēt savu saimniecisko darbību uz augstākas zināšanu ietilpības produktiem un attīstīt jaunus produktus</w:t>
      </w:r>
      <w:r w:rsidR="00571CCA">
        <w:t>,</w:t>
      </w:r>
      <w:r>
        <w:t xml:space="preserve"> tai skaitā tikai par privāto finansējumu. Kompetences centrs nevar tieši kontrolēt Komercsabiedrību </w:t>
      </w:r>
      <w:r w:rsidR="00571CCA" w:rsidRPr="00352C36">
        <w:t>darbību un lēmumu pieņemšanu</w:t>
      </w:r>
      <w:r>
        <w:t>, tomēr ar projektu atlases kritērijiem, tas var būtiski stimulēt ilgtspējīgu iznākumu. Ilgtspēju var palielināt</w:t>
      </w:r>
      <w:r w:rsidR="00960B87">
        <w:t xml:space="preserve">, </w:t>
      </w:r>
      <w:r>
        <w:t xml:space="preserve">nodrošinot, ka atbalstu saņem Sadarbības partneri un tādi projekti, kuri ticami ilgtermiņā </w:t>
      </w:r>
      <w:r w:rsidR="00571CCA" w:rsidRPr="00352C36">
        <w:t>spēs sekmīgi komercializēt jaunos produktus un</w:t>
      </w:r>
      <w:r w:rsidRPr="00352C36">
        <w:t xml:space="preserve"> pelnīt no projekta rezultātiem.</w:t>
      </w:r>
      <w:r>
        <w:t xml:space="preserve"> </w:t>
      </w:r>
    </w:p>
    <w:p w14:paraId="54ECD5C4" w14:textId="57B31194" w:rsidR="00872E34" w:rsidRPr="00D0054F" w:rsidRDefault="00872E34" w:rsidP="00872E34">
      <w:r>
        <w:t>Tāpēc saistībā ar Kompetences centra ilgtspēju</w:t>
      </w:r>
      <w:r w:rsidR="00960B87">
        <w:t xml:space="preserve"> </w:t>
      </w:r>
      <w:r w:rsidR="00571CCA">
        <w:t>P</w:t>
      </w:r>
      <w:r>
        <w:t xml:space="preserve">rojektu atlases padome, izvērtējot projektu, atbild uz sekojošu jautājumu - </w:t>
      </w:r>
      <w:r w:rsidRPr="001B5B8C">
        <w:t>Vai uzņēmuma finanšu kapacitāte ļauj uzturēt rezultātus un gūt komerciālu labumu no pētījuma rezultātiem?</w:t>
      </w:r>
    </w:p>
    <w:p w14:paraId="1CD199DB" w14:textId="77777777" w:rsidR="00872E34" w:rsidRPr="00D0054F" w:rsidRDefault="00872E34" w:rsidP="00872E34">
      <w:r w:rsidRPr="00D0054F">
        <w:t>E</w:t>
      </w:r>
      <w:r>
        <w:t>ksperti izskata</w:t>
      </w:r>
      <w:r w:rsidRPr="00D0054F">
        <w:t xml:space="preserve"> projektu kā atbildes uz sekojošiem pakārtotiem ja</w:t>
      </w:r>
      <w:r>
        <w:t>utājumiem:</w:t>
      </w:r>
    </w:p>
    <w:p w14:paraId="30083A08" w14:textId="77777777" w:rsidR="00872E34" w:rsidRPr="00D0054F" w:rsidRDefault="00872E34" w:rsidP="006F31C1">
      <w:pPr>
        <w:pStyle w:val="ListParagraph"/>
        <w:keepLines w:val="0"/>
        <w:numPr>
          <w:ilvl w:val="0"/>
          <w:numId w:val="15"/>
        </w:numPr>
        <w:shd w:val="clear" w:color="auto" w:fill="auto"/>
        <w:spacing w:before="0" w:after="160" w:line="259" w:lineRule="auto"/>
        <w:jc w:val="left"/>
      </w:pPr>
      <w:r w:rsidRPr="00D0054F">
        <w:t>Vai uzņēmumam pieaugs apgrozījums, nodarbināto skaits?</w:t>
      </w:r>
    </w:p>
    <w:p w14:paraId="46A705B8" w14:textId="77777777" w:rsidR="00872E34" w:rsidRPr="00D0054F" w:rsidRDefault="00872E34" w:rsidP="006F31C1">
      <w:pPr>
        <w:pStyle w:val="ListParagraph"/>
        <w:keepLines w:val="0"/>
        <w:numPr>
          <w:ilvl w:val="0"/>
          <w:numId w:val="15"/>
        </w:numPr>
        <w:shd w:val="clear" w:color="auto" w:fill="auto"/>
        <w:spacing w:before="0" w:after="160" w:line="259" w:lineRule="auto"/>
        <w:jc w:val="left"/>
      </w:pPr>
      <w:r w:rsidRPr="00D0054F">
        <w:t>Vai uzņēmums turpinās ieguldīt P&amp;A? Vai tas ir ticami?</w:t>
      </w:r>
    </w:p>
    <w:p w14:paraId="10934242" w14:textId="77777777" w:rsidR="00872E34" w:rsidRPr="00D0054F" w:rsidRDefault="00872E34" w:rsidP="006F31C1">
      <w:pPr>
        <w:pStyle w:val="ListParagraph"/>
        <w:keepLines w:val="0"/>
        <w:numPr>
          <w:ilvl w:val="0"/>
          <w:numId w:val="15"/>
        </w:numPr>
        <w:shd w:val="clear" w:color="auto" w:fill="auto"/>
        <w:spacing w:before="0" w:after="160" w:line="259" w:lineRule="auto"/>
        <w:jc w:val="left"/>
      </w:pPr>
      <w:r w:rsidRPr="00D0054F">
        <w:t>Vai produkts nonāks tirgū? Kad?</w:t>
      </w:r>
    </w:p>
    <w:p w14:paraId="7C618C5B" w14:textId="77777777" w:rsidR="00872E34" w:rsidRPr="00D0054F" w:rsidRDefault="00872E34" w:rsidP="006F31C1">
      <w:pPr>
        <w:pStyle w:val="ListParagraph"/>
        <w:keepLines w:val="0"/>
        <w:numPr>
          <w:ilvl w:val="0"/>
          <w:numId w:val="15"/>
        </w:numPr>
        <w:shd w:val="clear" w:color="auto" w:fill="auto"/>
        <w:spacing w:before="0" w:after="160" w:line="259" w:lineRule="auto"/>
        <w:jc w:val="left"/>
      </w:pPr>
      <w:r w:rsidRPr="00D0054F">
        <w:t>Vai rezultāts var novest pie kopīgas vai atsev</w:t>
      </w:r>
      <w:r>
        <w:t>išķas zinātniskās publikācijas?</w:t>
      </w:r>
    </w:p>
    <w:p w14:paraId="4552699B" w14:textId="77777777" w:rsidR="00872E34" w:rsidRPr="00D0054F" w:rsidRDefault="00872E34" w:rsidP="006F31C1">
      <w:pPr>
        <w:pStyle w:val="ListParagraph"/>
        <w:keepLines w:val="0"/>
        <w:numPr>
          <w:ilvl w:val="0"/>
          <w:numId w:val="15"/>
        </w:numPr>
        <w:shd w:val="clear" w:color="auto" w:fill="auto"/>
        <w:spacing w:before="0" w:after="160" w:line="259" w:lineRule="auto"/>
        <w:jc w:val="left"/>
      </w:pPr>
      <w:r w:rsidRPr="00D0054F">
        <w:t>Vai produkts vai tehnoloģija ticami var tikt licencēts citiem komersantiem vai patentēts ar starptautisku patentu?</w:t>
      </w:r>
    </w:p>
    <w:p w14:paraId="05AA448A" w14:textId="77777777" w:rsidR="00872E34" w:rsidRPr="00D0054F" w:rsidRDefault="00872E34" w:rsidP="00872E34">
      <w:r>
        <w:t>Izvērtējot projektus, papildus tiek ņemti vērā arī projekta i</w:t>
      </w:r>
      <w:r w:rsidRPr="00D0054F">
        <w:t xml:space="preserve">znākuma rādītāji, </w:t>
      </w:r>
      <w:r>
        <w:t xml:space="preserve">kas ir sekojoši: </w:t>
      </w:r>
    </w:p>
    <w:p w14:paraId="701424D1" w14:textId="77777777" w:rsidR="00872E34" w:rsidRPr="00D0054F" w:rsidRDefault="00872E34" w:rsidP="006F31C1">
      <w:pPr>
        <w:pStyle w:val="ListParagraph"/>
        <w:keepLines w:val="0"/>
        <w:numPr>
          <w:ilvl w:val="0"/>
          <w:numId w:val="14"/>
        </w:numPr>
        <w:shd w:val="clear" w:color="auto" w:fill="auto"/>
        <w:spacing w:before="0" w:after="160" w:line="259" w:lineRule="auto"/>
        <w:jc w:val="left"/>
      </w:pPr>
      <w:r w:rsidRPr="00D0054F">
        <w:t>Būtisks uzņēmumu pašu ieguldījums P&amp;A otrajā gadā pēc projekta pabeigšanas</w:t>
      </w:r>
    </w:p>
    <w:p w14:paraId="4FD55917" w14:textId="77777777" w:rsidR="00872E34" w:rsidRPr="00D0054F" w:rsidRDefault="00872E34" w:rsidP="006F31C1">
      <w:pPr>
        <w:pStyle w:val="ListParagraph"/>
        <w:keepLines w:val="0"/>
        <w:numPr>
          <w:ilvl w:val="1"/>
          <w:numId w:val="14"/>
        </w:numPr>
        <w:shd w:val="clear" w:color="auto" w:fill="auto"/>
        <w:spacing w:before="0" w:after="160" w:line="259" w:lineRule="auto"/>
        <w:jc w:val="left"/>
      </w:pPr>
      <w:r w:rsidRPr="00D0054F">
        <w:t>Ticamākais rādītājs par šādu ieguldījumu stabilitāti ir izveidotās P&amp;A darba vietas uzņēmumā</w:t>
      </w:r>
      <w:r>
        <w:t>;</w:t>
      </w:r>
    </w:p>
    <w:p w14:paraId="46C7A83D" w14:textId="77777777" w:rsidR="00872E34" w:rsidRPr="00D0054F" w:rsidRDefault="00872E34" w:rsidP="006F31C1">
      <w:pPr>
        <w:pStyle w:val="ListParagraph"/>
        <w:keepLines w:val="0"/>
        <w:numPr>
          <w:ilvl w:val="0"/>
          <w:numId w:val="14"/>
        </w:numPr>
        <w:shd w:val="clear" w:color="auto" w:fill="auto"/>
        <w:spacing w:before="0" w:after="160" w:line="259" w:lineRule="auto"/>
        <w:jc w:val="left"/>
      </w:pPr>
      <w:r w:rsidRPr="00D0054F">
        <w:t>Produkti un tehnoloģijas, kuri nonāk reālā tirgū uzreiz pēc projekta pabeigšanas</w:t>
      </w:r>
    </w:p>
    <w:p w14:paraId="748E00AD" w14:textId="77777777" w:rsidR="00872E34" w:rsidRPr="00D0054F" w:rsidRDefault="00872E34" w:rsidP="006F31C1">
      <w:pPr>
        <w:pStyle w:val="ListParagraph"/>
        <w:keepLines w:val="0"/>
        <w:numPr>
          <w:ilvl w:val="1"/>
          <w:numId w:val="14"/>
        </w:numPr>
        <w:shd w:val="clear" w:color="auto" w:fill="auto"/>
        <w:spacing w:before="0" w:after="160" w:line="259" w:lineRule="auto"/>
        <w:jc w:val="left"/>
      </w:pPr>
      <w:r w:rsidRPr="00D0054F">
        <w:t>Uzņēmums jau iepriekš ir laidis tirgū jaunus produktus</w:t>
      </w:r>
      <w:r>
        <w:t>;</w:t>
      </w:r>
    </w:p>
    <w:p w14:paraId="06BCE8DC" w14:textId="77777777" w:rsidR="00872E34" w:rsidRPr="00D0054F" w:rsidRDefault="00872E34" w:rsidP="006F31C1">
      <w:pPr>
        <w:pStyle w:val="ListParagraph"/>
        <w:keepLines w:val="0"/>
        <w:numPr>
          <w:ilvl w:val="0"/>
          <w:numId w:val="14"/>
        </w:numPr>
        <w:shd w:val="clear" w:color="auto" w:fill="auto"/>
        <w:spacing w:before="0" w:after="160" w:line="259" w:lineRule="auto"/>
        <w:jc w:val="left"/>
      </w:pPr>
      <w:r w:rsidRPr="00D0054F">
        <w:t xml:space="preserve">KC ietvaros radīto tehnoloģiju un produktu licences </w:t>
      </w:r>
    </w:p>
    <w:p w14:paraId="183DE4B7" w14:textId="77777777" w:rsidR="00872E34" w:rsidRPr="00D0054F" w:rsidRDefault="00872E34" w:rsidP="006F31C1">
      <w:pPr>
        <w:pStyle w:val="ListParagraph"/>
        <w:keepLines w:val="0"/>
        <w:numPr>
          <w:ilvl w:val="1"/>
          <w:numId w:val="14"/>
        </w:numPr>
        <w:shd w:val="clear" w:color="auto" w:fill="auto"/>
        <w:spacing w:before="0" w:after="160" w:line="259" w:lineRule="auto"/>
        <w:jc w:val="left"/>
      </w:pPr>
      <w:r w:rsidRPr="00D0054F">
        <w:t>Uzņēmums jau iepriekš ir licencējis</w:t>
      </w:r>
      <w:r>
        <w:t>;</w:t>
      </w:r>
    </w:p>
    <w:p w14:paraId="197BFB14" w14:textId="77777777" w:rsidR="00872E34" w:rsidRPr="00D0054F" w:rsidRDefault="00872E34" w:rsidP="006F31C1">
      <w:pPr>
        <w:pStyle w:val="ListParagraph"/>
        <w:keepLines w:val="0"/>
        <w:numPr>
          <w:ilvl w:val="0"/>
          <w:numId w:val="14"/>
        </w:numPr>
        <w:shd w:val="clear" w:color="auto" w:fill="auto"/>
        <w:spacing w:before="0" w:after="160" w:line="259" w:lineRule="auto"/>
        <w:jc w:val="left"/>
      </w:pPr>
      <w:r w:rsidRPr="00D0054F">
        <w:t>Sadarbības apjoms starp pētniecības organizāciju un komersantu</w:t>
      </w:r>
    </w:p>
    <w:p w14:paraId="445BE364" w14:textId="77777777" w:rsidR="00872E34" w:rsidRPr="00D0054F" w:rsidRDefault="00872E34" w:rsidP="006F31C1">
      <w:pPr>
        <w:pStyle w:val="ListParagraph"/>
        <w:keepLines w:val="0"/>
        <w:numPr>
          <w:ilvl w:val="1"/>
          <w:numId w:val="14"/>
        </w:numPr>
        <w:shd w:val="clear" w:color="auto" w:fill="auto"/>
        <w:spacing w:before="0" w:after="160" w:line="259" w:lineRule="auto"/>
        <w:jc w:val="left"/>
      </w:pPr>
      <w:r w:rsidRPr="00D0054F">
        <w:t>Projektā ir iesaistītas PO</w:t>
      </w:r>
      <w:r>
        <w:t>;</w:t>
      </w:r>
    </w:p>
    <w:p w14:paraId="142F44DA" w14:textId="77777777" w:rsidR="00872E34" w:rsidRPr="00D0054F" w:rsidRDefault="00872E34" w:rsidP="006F31C1">
      <w:pPr>
        <w:pStyle w:val="ListParagraph"/>
        <w:keepLines w:val="0"/>
        <w:numPr>
          <w:ilvl w:val="0"/>
          <w:numId w:val="14"/>
        </w:numPr>
        <w:shd w:val="clear" w:color="auto" w:fill="auto"/>
        <w:spacing w:before="0" w:after="160" w:line="259" w:lineRule="auto"/>
        <w:jc w:val="left"/>
      </w:pPr>
      <w:r w:rsidRPr="00D0054F">
        <w:t>Koppublikāciju skaits ar PO</w:t>
      </w:r>
    </w:p>
    <w:p w14:paraId="74712AA5" w14:textId="77777777" w:rsidR="00872E34" w:rsidRPr="00D0054F" w:rsidRDefault="00872E34" w:rsidP="006F31C1">
      <w:pPr>
        <w:pStyle w:val="ListParagraph"/>
        <w:keepLines w:val="0"/>
        <w:numPr>
          <w:ilvl w:val="1"/>
          <w:numId w:val="14"/>
        </w:numPr>
        <w:shd w:val="clear" w:color="auto" w:fill="auto"/>
        <w:spacing w:before="0" w:after="160" w:line="259" w:lineRule="auto"/>
        <w:jc w:val="left"/>
      </w:pPr>
      <w:r w:rsidRPr="00D0054F">
        <w:t>Tiek plānotas publikācijas</w:t>
      </w:r>
      <w:r>
        <w:t>;</w:t>
      </w:r>
    </w:p>
    <w:p w14:paraId="347DF8C6" w14:textId="77777777" w:rsidR="00872E34" w:rsidRPr="00D0054F" w:rsidRDefault="00872E34" w:rsidP="006F31C1">
      <w:pPr>
        <w:pStyle w:val="ListParagraph"/>
        <w:keepLines w:val="0"/>
        <w:numPr>
          <w:ilvl w:val="0"/>
          <w:numId w:val="14"/>
        </w:numPr>
        <w:shd w:val="clear" w:color="auto" w:fill="auto"/>
        <w:spacing w:before="0" w:after="160" w:line="259" w:lineRule="auto"/>
        <w:jc w:val="left"/>
      </w:pPr>
      <w:r w:rsidRPr="00D0054F">
        <w:t>Projektos iesaistīto doktorantu skaits</w:t>
      </w:r>
    </w:p>
    <w:p w14:paraId="5FBD8F15" w14:textId="77777777" w:rsidR="00872E34" w:rsidRPr="00D0054F" w:rsidRDefault="00872E34" w:rsidP="006F31C1">
      <w:pPr>
        <w:pStyle w:val="ListParagraph"/>
        <w:keepLines w:val="0"/>
        <w:numPr>
          <w:ilvl w:val="0"/>
          <w:numId w:val="14"/>
        </w:numPr>
        <w:shd w:val="clear" w:color="auto" w:fill="auto"/>
        <w:spacing w:before="0" w:after="160" w:line="259" w:lineRule="auto"/>
        <w:jc w:val="left"/>
      </w:pPr>
      <w:r w:rsidRPr="00D0054F">
        <w:t>Apgrozījuma pieaugums komersantos pēc projekta pabeigšanas</w:t>
      </w:r>
    </w:p>
    <w:p w14:paraId="0626F997" w14:textId="77777777" w:rsidR="00872E34" w:rsidRPr="00D0054F" w:rsidRDefault="00872E34" w:rsidP="006F31C1">
      <w:pPr>
        <w:pStyle w:val="ListParagraph"/>
        <w:keepLines w:val="0"/>
        <w:numPr>
          <w:ilvl w:val="1"/>
          <w:numId w:val="14"/>
        </w:numPr>
        <w:shd w:val="clear" w:color="auto" w:fill="auto"/>
        <w:spacing w:before="0" w:after="160" w:line="259" w:lineRule="auto"/>
        <w:jc w:val="left"/>
      </w:pPr>
      <w:r w:rsidRPr="00D0054F">
        <w:t>Uzņēmumam ir tendence augt</w:t>
      </w:r>
      <w:r>
        <w:t>;</w:t>
      </w:r>
    </w:p>
    <w:p w14:paraId="2041CAFB" w14:textId="77777777" w:rsidR="00872E34" w:rsidRPr="00D0054F" w:rsidRDefault="00872E34" w:rsidP="006F31C1">
      <w:pPr>
        <w:pStyle w:val="ListParagraph"/>
        <w:keepLines w:val="0"/>
        <w:numPr>
          <w:ilvl w:val="0"/>
          <w:numId w:val="14"/>
        </w:numPr>
        <w:shd w:val="clear" w:color="auto" w:fill="auto"/>
        <w:spacing w:before="0" w:after="160" w:line="259" w:lineRule="auto"/>
        <w:jc w:val="left"/>
      </w:pPr>
      <w:r w:rsidRPr="00D0054F">
        <w:t>Nodarbinātības pieaugums komersantos pēc projekta pabeigšanas</w:t>
      </w:r>
    </w:p>
    <w:p w14:paraId="1714D0B5" w14:textId="77777777" w:rsidR="00872E34" w:rsidRPr="00D0054F" w:rsidRDefault="00872E34" w:rsidP="006F31C1">
      <w:pPr>
        <w:pStyle w:val="ListParagraph"/>
        <w:keepLines w:val="0"/>
        <w:numPr>
          <w:ilvl w:val="1"/>
          <w:numId w:val="14"/>
        </w:numPr>
        <w:shd w:val="clear" w:color="auto" w:fill="auto"/>
        <w:spacing w:before="0" w:after="160" w:line="259" w:lineRule="auto"/>
        <w:jc w:val="left"/>
      </w:pPr>
      <w:r w:rsidRPr="00D0054F">
        <w:t>Uzņēmumam ir tendence augt</w:t>
      </w:r>
      <w:r>
        <w:t>;</w:t>
      </w:r>
    </w:p>
    <w:p w14:paraId="7B0D41BA" w14:textId="77777777" w:rsidR="00CA0AD8" w:rsidRPr="007B4A2E" w:rsidRDefault="00CA0AD8" w:rsidP="006F31C1">
      <w:pPr>
        <w:pStyle w:val="ListParagraph"/>
        <w:keepLines w:val="0"/>
        <w:numPr>
          <w:ilvl w:val="0"/>
          <w:numId w:val="14"/>
        </w:numPr>
        <w:shd w:val="clear" w:color="auto" w:fill="auto"/>
        <w:spacing w:before="0" w:after="160" w:line="259" w:lineRule="auto"/>
        <w:jc w:val="left"/>
      </w:pPr>
      <w:r>
        <w:t>Turpmāku s</w:t>
      </w:r>
      <w:r w:rsidRPr="007B4A2E">
        <w:t>tarptautisko programmu finansējum</w:t>
      </w:r>
      <w:r>
        <w:t>a potenciāls</w:t>
      </w:r>
    </w:p>
    <w:p w14:paraId="4CFD6236" w14:textId="77777777" w:rsidR="00872E34" w:rsidRPr="00D0054F" w:rsidRDefault="00872E34" w:rsidP="00872E34">
      <w:r>
        <w:lastRenderedPageBreak/>
        <w:t>Saņemot pozitīvu atbildi uz šiem jautājumiem, būtiski tiek samazināti riski saistībā ar pētniecības projekta ilgtspēju, kas nodrošina arī ticamāku paša kompetences centra mērķa sasniegšanas iespējamību, kā arī ilgtspēju.</w:t>
      </w:r>
    </w:p>
    <w:p w14:paraId="2EC644F2" w14:textId="77777777" w:rsidR="00872E34" w:rsidRPr="001B5B8C" w:rsidRDefault="00872E34" w:rsidP="00872E34">
      <w:pPr>
        <w:pStyle w:val="Heading2"/>
        <w:spacing w:before="480" w:after="120"/>
      </w:pPr>
      <w:bookmarkStart w:id="76" w:name="_Toc450850159"/>
      <w:bookmarkStart w:id="77" w:name="_Toc450888011"/>
      <w:bookmarkStart w:id="78" w:name="_Toc450925120"/>
      <w:bookmarkStart w:id="79" w:name="_Toc119072235"/>
      <w:r w:rsidRPr="001B5B8C">
        <w:t>Kompetences centra vīzija par privātā līdzfinansējuma piesaisti</w:t>
      </w:r>
      <w:bookmarkEnd w:id="76"/>
      <w:bookmarkEnd w:id="77"/>
      <w:bookmarkEnd w:id="78"/>
      <w:bookmarkEnd w:id="79"/>
    </w:p>
    <w:p w14:paraId="074FC8B1" w14:textId="6C489F39" w:rsidR="00872E34" w:rsidRDefault="00872E34" w:rsidP="00872E34">
      <w:r w:rsidRPr="001B5B8C">
        <w:t xml:space="preserve">Kompetences centra </w:t>
      </w:r>
      <w:r w:rsidR="00571CCA">
        <w:t>P</w:t>
      </w:r>
      <w:r w:rsidRPr="001B5B8C">
        <w:t xml:space="preserve">rojektu atlases padome </w:t>
      </w:r>
      <w:r>
        <w:t xml:space="preserve">priekšroku dod projektiem, kam ir augstāks eksperimentālo izstrāžu īpatsvars, tādējādi nodrošinot pēc iespējas lielāku privātā līdzfinansējuma apmēru. </w:t>
      </w:r>
    </w:p>
    <w:p w14:paraId="1A110ABD" w14:textId="3B44BE32" w:rsidR="00806342" w:rsidRDefault="00806342" w:rsidP="00872E34">
      <w:r w:rsidRPr="00A1390F">
        <w:t>Atlases procesā</w:t>
      </w:r>
      <w:r>
        <w:t xml:space="preserve"> </w:t>
      </w:r>
      <w:r w:rsidRPr="00A1390F">
        <w:t xml:space="preserve">tiek verificēts projektu </w:t>
      </w:r>
      <w:r>
        <w:t xml:space="preserve">īstenotāju un to īstenoto projektu </w:t>
      </w:r>
      <w:r w:rsidRPr="00A1390F">
        <w:t>ilgtspēj</w:t>
      </w:r>
      <w:r>
        <w:t xml:space="preserve">īgas finansēšanas </w:t>
      </w:r>
      <w:r w:rsidRPr="00A1390F">
        <w:t>potenciāl</w:t>
      </w:r>
      <w:r>
        <w:t>s. Novērtēšana tiek veikta, i</w:t>
      </w:r>
      <w:r w:rsidRPr="00A1390F">
        <w:t>zmantojot konkrētus nozares un mikrolīmeņa kritērijus</w:t>
      </w:r>
      <w:r>
        <w:t xml:space="preserve">: piemēram, uzņēmuma </w:t>
      </w:r>
      <w:r w:rsidRPr="00A1390F">
        <w:t xml:space="preserve">dalība </w:t>
      </w:r>
      <w:r w:rsidR="004400E3">
        <w:t xml:space="preserve">un sekmīgi realizēti pētniecības projekti </w:t>
      </w:r>
      <w:r w:rsidRPr="00A1390F">
        <w:t>iepriekšējos</w:t>
      </w:r>
      <w:r>
        <w:t xml:space="preserve"> KC </w:t>
      </w:r>
      <w:r w:rsidR="004400E3">
        <w:t>programmās</w:t>
      </w:r>
      <w:r w:rsidRPr="00A1390F">
        <w:t xml:space="preserve">, </w:t>
      </w:r>
      <w:r w:rsidR="004400E3">
        <w:t xml:space="preserve">uzņēmumu pašu pētniecības kapacitāte (savas laboratorijas), </w:t>
      </w:r>
      <w:r w:rsidRPr="00A1390F">
        <w:t>komercializācijas un eksportspējas pieredze un līdz ar to veiksmīgs jaunu ideju attīstīšanas potenciāls, esošie uzņēmējdarbības attīstības un finansiāl</w:t>
      </w:r>
      <w:r>
        <w:t xml:space="preserve">ās </w:t>
      </w:r>
      <w:r w:rsidRPr="00A1390F">
        <w:t>stabilitātes rādītāji</w:t>
      </w:r>
      <w:r>
        <w:t xml:space="preserve">; kāds ir šāda uzņēmuma </w:t>
      </w:r>
      <w:r w:rsidRPr="00A1390F">
        <w:t>nozares potenciāls</w:t>
      </w:r>
      <w:r>
        <w:t xml:space="preserve">; visbeidzot tiek skatīti </w:t>
      </w:r>
      <w:r w:rsidRPr="00A1390F">
        <w:t>jaunuzņēmumi ar perspektīvu ideju potenciālu (skat. aprakstu iepriekš). Visu šo kritēriju kopums dod iespēju paredzēt potenciālo Sadarbības partneru, projektu īstenotāju, i</w:t>
      </w:r>
      <w:r>
        <w:t>espējas</w:t>
      </w:r>
      <w:r w:rsidRPr="00A1390F">
        <w:t xml:space="preserve"> un potenciālu arī turpmāk finansēt pētniecības </w:t>
      </w:r>
      <w:r>
        <w:t>projektu gaitā iegūtos rezultātus</w:t>
      </w:r>
      <w:r w:rsidRPr="00A1390F">
        <w:t>, kā arī citas idejas ārpus Kompetences centra</w:t>
      </w:r>
      <w:r>
        <w:t>, tādējādi palielinot privātā sektora ieguldījumus P&amp;A.</w:t>
      </w:r>
    </w:p>
    <w:p w14:paraId="19D410BD" w14:textId="77777777" w:rsidR="00CA0AD8" w:rsidRDefault="00CA0AD8" w:rsidP="00CA0AD8">
      <w:bookmarkStart w:id="80" w:name="_Toc450925121"/>
      <w:r>
        <w:t xml:space="preserve">Šīs kārtas īstenošanas gaitā tiks stimulēta jaunu projektu pieteikumu, īpaši uz starptautisko un starpnozaru sadarbību orientētu, iesniegšana, tādējādi nodrošinot papildu privātā līdzfinansējuma piesaisti. Privātā līdzfinansējuma kvalitātes un ilgtspējas nodrošināšanai tiks veikta projektu divpakāpju verifikācija, kas ir aprakstīta tālāk pie projektu atlases principiem. </w:t>
      </w:r>
    </w:p>
    <w:p w14:paraId="359C33D6" w14:textId="77777777" w:rsidR="00872E34" w:rsidRPr="00FD27AB" w:rsidRDefault="00872E34" w:rsidP="00872E34">
      <w:pPr>
        <w:pStyle w:val="Heading1"/>
        <w:pageBreakBefore w:val="0"/>
        <w:shd w:val="clear" w:color="auto" w:fill="auto"/>
        <w:spacing w:after="0"/>
        <w:ind w:left="432" w:hanging="432"/>
        <w:contextualSpacing w:val="0"/>
        <w:jc w:val="left"/>
      </w:pPr>
      <w:bookmarkStart w:id="81" w:name="_Toc119072236"/>
      <w:r w:rsidRPr="00FD27AB">
        <w:t>Kompetences centrā atbalstāmo projektu atlases principi un kritēriji</w:t>
      </w:r>
      <w:bookmarkEnd w:id="80"/>
      <w:bookmarkEnd w:id="81"/>
    </w:p>
    <w:p w14:paraId="447D689E" w14:textId="77777777" w:rsidR="00872E34" w:rsidRDefault="00872E34" w:rsidP="00872E34">
      <w:pPr>
        <w:pStyle w:val="Heading2"/>
        <w:spacing w:before="480" w:after="120"/>
      </w:pPr>
      <w:bookmarkStart w:id="82" w:name="_Toc450925122"/>
      <w:bookmarkStart w:id="83" w:name="_Toc119072237"/>
      <w:r w:rsidRPr="00E5444E">
        <w:t>Kompetences centra institucionālā uzbūve</w:t>
      </w:r>
      <w:bookmarkEnd w:id="82"/>
      <w:bookmarkEnd w:id="83"/>
    </w:p>
    <w:p w14:paraId="0153975F" w14:textId="35BB315A" w:rsidR="007A51EF" w:rsidRPr="007A51EF" w:rsidRDefault="007A51EF" w:rsidP="002319D2">
      <w:r>
        <w:t>Projektu atlases sistēma un kritēriji ir svarīga komponente Kompetences centra iznākuma rādītāju sasniegšanai, risku vadībai un mērķu sasniegšanai. Projektu atlases kritērijos būtisks uzsvars tiek likts uz komandu, uzņēmuma kapacitāti un projekta vispārējo kvalitāti. Projekta ideja un tās potenciāls tiek izvērtēts tikai pēc pārliecības iegūšanas par to, ka idejas var tikt realizētas, un projekta pietecēja spējas atbilst tā ambīcijām. Tas atbilst mūsdienīgai projektu vadības un investīciju praksei un dinamiskai tehnoloģiskai videi. Mūsdienās lielākā daļa inovāciju projektu, projekta gaitā meklējot labākos risinājumus, kardināli maina, gan izvirzītos jautājumus, hipotēzes, gan risinājumus. Kompetences centrs, vērtējot projektus, balstās uz regulāru monitoringu un tuvākās perspektīvas darbības plāniem, nevis uz detalizētu ilgtermiņa pētniecības plānu, ko vairākumā gadījumā reālajā dzīvē nav iespējams iegūt.</w:t>
      </w:r>
    </w:p>
    <w:p w14:paraId="65618B2C" w14:textId="77777777" w:rsidR="00806342" w:rsidRPr="00B93066" w:rsidRDefault="00806342" w:rsidP="00806342">
      <w:r w:rsidRPr="00B93066">
        <w:t>Kompetences centra vadības uzdevumi ir nodrošināt:</w:t>
      </w:r>
    </w:p>
    <w:p w14:paraId="6A24FA56" w14:textId="77777777" w:rsidR="00806342" w:rsidRPr="007B4A2E" w:rsidRDefault="00806342" w:rsidP="006F31C1">
      <w:pPr>
        <w:pStyle w:val="ListParagraph"/>
        <w:numPr>
          <w:ilvl w:val="1"/>
          <w:numId w:val="31"/>
        </w:numPr>
        <w:spacing w:after="0"/>
      </w:pPr>
      <w:r>
        <w:t>e</w:t>
      </w:r>
      <w:r w:rsidRPr="007B4A2E">
        <w:t xml:space="preserve">fektīvu un </w:t>
      </w:r>
      <w:r>
        <w:t>caurredzamu</w:t>
      </w:r>
      <w:r w:rsidRPr="007B4A2E">
        <w:t xml:space="preserve"> projektu atlasi atbilstoši kritērijiem, kas nodrošina Kompetences centra mērķu sasniegšanu;</w:t>
      </w:r>
    </w:p>
    <w:p w14:paraId="27A4AFE7" w14:textId="77777777" w:rsidR="00806342" w:rsidRPr="007B4A2E" w:rsidRDefault="00806342" w:rsidP="006F31C1">
      <w:pPr>
        <w:pStyle w:val="ListParagraph"/>
        <w:numPr>
          <w:ilvl w:val="1"/>
          <w:numId w:val="31"/>
        </w:numPr>
        <w:spacing w:after="0"/>
      </w:pPr>
      <w:r>
        <w:t>e</w:t>
      </w:r>
      <w:r w:rsidRPr="007B4A2E">
        <w:t>fektīvu Kompetences centra konsultatīvo pakalpojumu sniegšanu Sadarbības partneriem un potenciālajiem Sadarbības partneriem;</w:t>
      </w:r>
    </w:p>
    <w:p w14:paraId="73FCF1A7" w14:textId="77777777" w:rsidR="00806342" w:rsidRPr="007B4A2E" w:rsidRDefault="00806342" w:rsidP="006F31C1">
      <w:pPr>
        <w:pStyle w:val="ListParagraph"/>
        <w:numPr>
          <w:ilvl w:val="1"/>
          <w:numId w:val="31"/>
        </w:numPr>
        <w:spacing w:after="0"/>
      </w:pPr>
      <w:r>
        <w:t>i</w:t>
      </w:r>
      <w:r w:rsidRPr="007B4A2E">
        <w:t>kdienas jautājumu risināšanu</w:t>
      </w:r>
      <w:r>
        <w:t xml:space="preserve">, t. sk., </w:t>
      </w:r>
      <w:r w:rsidRPr="007B4A2E">
        <w:t>grāmatvedība, lietvedība;</w:t>
      </w:r>
    </w:p>
    <w:p w14:paraId="49CF9179" w14:textId="77777777" w:rsidR="00806342" w:rsidRPr="007B4A2E" w:rsidRDefault="00806342" w:rsidP="006F31C1">
      <w:pPr>
        <w:pStyle w:val="ListParagraph"/>
        <w:numPr>
          <w:ilvl w:val="1"/>
          <w:numId w:val="31"/>
        </w:numPr>
        <w:spacing w:after="0"/>
      </w:pPr>
      <w:r>
        <w:lastRenderedPageBreak/>
        <w:t>v</w:t>
      </w:r>
      <w:r w:rsidRPr="007B4A2E">
        <w:t>isas Kompetences centra un projektu dokumentācijas apkopošanu un pārbaudi, kā arī iesniegšanu Institūcijās;</w:t>
      </w:r>
    </w:p>
    <w:p w14:paraId="3B0CA7E6" w14:textId="77777777" w:rsidR="00806342" w:rsidRPr="007B4A2E" w:rsidRDefault="00806342" w:rsidP="006F31C1">
      <w:pPr>
        <w:pStyle w:val="ListParagraph"/>
        <w:numPr>
          <w:ilvl w:val="1"/>
          <w:numId w:val="31"/>
        </w:numPr>
        <w:spacing w:after="0"/>
      </w:pPr>
      <w:r>
        <w:t>r</w:t>
      </w:r>
      <w:r w:rsidRPr="007B4A2E">
        <w:t>egulāras projektu atlases padomes sasaukšanu un atlases padomes darbību;</w:t>
      </w:r>
    </w:p>
    <w:p w14:paraId="6F91ED55" w14:textId="77777777" w:rsidR="00806342" w:rsidRPr="007B4A2E" w:rsidRDefault="00806342" w:rsidP="006F31C1">
      <w:pPr>
        <w:pStyle w:val="ListParagraph"/>
        <w:numPr>
          <w:ilvl w:val="1"/>
          <w:numId w:val="31"/>
        </w:numPr>
        <w:spacing w:after="0"/>
      </w:pPr>
      <w:r>
        <w:t>a</w:t>
      </w:r>
      <w:r w:rsidRPr="007B4A2E">
        <w:t>tskaišu pieņemšanu no Sadarbības partneriem;</w:t>
      </w:r>
    </w:p>
    <w:p w14:paraId="4C4ABA5B" w14:textId="77777777" w:rsidR="00806342" w:rsidRPr="007B4A2E" w:rsidRDefault="00806342" w:rsidP="006F31C1">
      <w:pPr>
        <w:pStyle w:val="ListParagraph"/>
        <w:numPr>
          <w:ilvl w:val="1"/>
          <w:numId w:val="31"/>
        </w:numPr>
        <w:spacing w:after="0"/>
      </w:pPr>
      <w:r>
        <w:t>p</w:t>
      </w:r>
      <w:r w:rsidRPr="007B4A2E">
        <w:t>iegādātāju un konsultantu pakalpojumu kvalitāti un pieejamību;</w:t>
      </w:r>
    </w:p>
    <w:p w14:paraId="69DC2539" w14:textId="77777777" w:rsidR="00806342" w:rsidRPr="007B4A2E" w:rsidRDefault="00806342" w:rsidP="006F31C1">
      <w:pPr>
        <w:pStyle w:val="ListParagraph"/>
        <w:numPr>
          <w:ilvl w:val="1"/>
          <w:numId w:val="31"/>
        </w:numPr>
        <w:spacing w:after="0"/>
      </w:pPr>
      <w:r>
        <w:t>c</w:t>
      </w:r>
      <w:r w:rsidRPr="007B4A2E">
        <w:t>itas vispārējās uzņēmuma vadības funkcijas.</w:t>
      </w:r>
    </w:p>
    <w:p w14:paraId="19F7EEE2" w14:textId="77777777" w:rsidR="003B55CF" w:rsidRDefault="003B55CF" w:rsidP="003B55CF">
      <w:r>
        <w:t>Kompetences centra pienākumi:</w:t>
      </w:r>
    </w:p>
    <w:p w14:paraId="5794130A" w14:textId="77777777" w:rsidR="003B55CF" w:rsidRDefault="003B55CF" w:rsidP="006F31C1">
      <w:pPr>
        <w:pStyle w:val="ListParagraph"/>
        <w:numPr>
          <w:ilvl w:val="1"/>
          <w:numId w:val="31"/>
        </w:numPr>
        <w:spacing w:after="0"/>
      </w:pPr>
      <w:r>
        <w:t>vadīt kompetences centra projektu un nodrošināt tajā noteikto mērķu sasniegšanu, tai skaitā koordinēt visu kompetences centra projektā iekļauto pētniecības projektu īstenošanu;</w:t>
      </w:r>
    </w:p>
    <w:p w14:paraId="66AB56A6" w14:textId="77777777" w:rsidR="003B55CF" w:rsidRDefault="003B55CF" w:rsidP="006F31C1">
      <w:pPr>
        <w:pStyle w:val="ListParagraph"/>
        <w:numPr>
          <w:ilvl w:val="1"/>
          <w:numId w:val="31"/>
        </w:numPr>
        <w:spacing w:after="0"/>
      </w:pPr>
      <w:r>
        <w:t>īstenot apstiprināto kompetences centra projektu;</w:t>
      </w:r>
    </w:p>
    <w:p w14:paraId="56280D59" w14:textId="77777777" w:rsidR="003B55CF" w:rsidRDefault="003B55CF" w:rsidP="006F31C1">
      <w:pPr>
        <w:pStyle w:val="ListParagraph"/>
        <w:numPr>
          <w:ilvl w:val="1"/>
          <w:numId w:val="31"/>
        </w:numPr>
        <w:spacing w:after="0"/>
      </w:pPr>
      <w:r>
        <w:t>dokumentēt un uzglabāt pētniecības projektu iesniegumu apstiprināšanas un noraidīšanas iemeslu;</w:t>
      </w:r>
    </w:p>
    <w:p w14:paraId="5994F083" w14:textId="77777777" w:rsidR="003B55CF" w:rsidRDefault="003B55CF" w:rsidP="006F31C1">
      <w:pPr>
        <w:pStyle w:val="ListParagraph"/>
        <w:numPr>
          <w:ilvl w:val="1"/>
          <w:numId w:val="31"/>
        </w:numPr>
        <w:spacing w:after="0"/>
      </w:pPr>
      <w:r>
        <w:t>sagatavot un uzglabāt visu pētniecības projektu atlases pamatojošo dokumentāciju, tai skaitā dokumentēt pētniecības projektu atlases padomes darbu;</w:t>
      </w:r>
    </w:p>
    <w:p w14:paraId="41DBC1FC" w14:textId="77777777" w:rsidR="003B55CF" w:rsidRDefault="003B55CF" w:rsidP="006F31C1">
      <w:pPr>
        <w:pStyle w:val="ListParagraph"/>
        <w:numPr>
          <w:ilvl w:val="1"/>
          <w:numId w:val="31"/>
        </w:numPr>
        <w:spacing w:after="0"/>
      </w:pPr>
      <w:r>
        <w:t>iesniegt CFLA maksājumu pieprasījumus atbilstoši līgumam, kas noslēgts ar CFLA, ne biežāk kā reizi ceturksnī, iekļaujot tikai tādus sadarbības partnera pētniecības projekta izdevumus, kuri ir faktiski izlietoti pētniecības projektā un kurus ir izvērtējis un apstiprinājis kompetences centrs un pētniecības projektu atlases padome;</w:t>
      </w:r>
    </w:p>
    <w:p w14:paraId="26ADA5B5" w14:textId="672CCE53" w:rsidR="003B55CF" w:rsidRDefault="003B55CF" w:rsidP="006F31C1">
      <w:pPr>
        <w:pStyle w:val="ListParagraph"/>
        <w:numPr>
          <w:ilvl w:val="1"/>
          <w:numId w:val="31"/>
        </w:numPr>
        <w:spacing w:after="0"/>
      </w:pPr>
      <w:r>
        <w:t xml:space="preserve">izveidot pētniecības </w:t>
      </w:r>
      <w:r w:rsidR="004400E3">
        <w:t>P</w:t>
      </w:r>
      <w:r>
        <w:t>rojektu atlases padomi</w:t>
      </w:r>
      <w:r w:rsidR="004400E3">
        <w:t xml:space="preserve"> (PAP)</w:t>
      </w:r>
      <w:r>
        <w:t xml:space="preserve">, </w:t>
      </w:r>
      <w:r w:rsidRPr="002A4741">
        <w:t xml:space="preserve">iespēju robežās ieaicinot </w:t>
      </w:r>
      <w:r>
        <w:t>atklātā konkursā vai veicot tirgus izpēti, ja tiek slēgts uzņēmuma līgums;</w:t>
      </w:r>
    </w:p>
    <w:p w14:paraId="6EBADD54" w14:textId="77777777" w:rsidR="003B55CF" w:rsidRDefault="003B55CF" w:rsidP="006F31C1">
      <w:pPr>
        <w:pStyle w:val="ListParagraph"/>
        <w:numPr>
          <w:ilvl w:val="1"/>
          <w:numId w:val="31"/>
        </w:numPr>
        <w:spacing w:after="0"/>
      </w:pPr>
      <w:r>
        <w:t>15 darbdienu laikā no pētniecības projektu atlases sēdes dienas rakstiski informēt sadarbības partnerus par apstiprināto vai noraidīto pētniecības projektu, sniedzot skaidrojumu par noraidīšanas iemesliem un apstrīdēšanas iespējām;</w:t>
      </w:r>
    </w:p>
    <w:p w14:paraId="11C9D1C9" w14:textId="77777777" w:rsidR="003B55CF" w:rsidRDefault="003B55CF" w:rsidP="006F31C1">
      <w:pPr>
        <w:pStyle w:val="ListParagraph"/>
        <w:numPr>
          <w:ilvl w:val="1"/>
          <w:numId w:val="31"/>
        </w:numPr>
        <w:spacing w:after="0"/>
      </w:pPr>
      <w:r>
        <w:t>iesniegt Vadības informācijas sistēmā tā līguma kopiju vai līguma izrakstu par pētniecības projekta apstiprināšanu, kas noslēgts starp kompetences centru un sadarbības partneri;</w:t>
      </w:r>
    </w:p>
    <w:p w14:paraId="0681BFA6" w14:textId="77777777" w:rsidR="003B55CF" w:rsidRDefault="003B55CF" w:rsidP="006F31C1">
      <w:pPr>
        <w:pStyle w:val="ListParagraph"/>
        <w:numPr>
          <w:ilvl w:val="1"/>
          <w:numId w:val="31"/>
        </w:numPr>
        <w:spacing w:after="0"/>
      </w:pPr>
      <w:r>
        <w:t>pēc pieprasījuma iesniegt Ekonomikas ministrijā Atveseļošanas fonda sadarbības partneru sarakstu, norādot sadarbības partnera nosaukumu un reģistrācijas numuru, pētniecības projekta nosaukumu un īsu pētniecības projekta aprakstu;</w:t>
      </w:r>
    </w:p>
    <w:p w14:paraId="3AA1FC8D" w14:textId="77777777" w:rsidR="003B55CF" w:rsidRDefault="003B55CF" w:rsidP="006F31C1">
      <w:pPr>
        <w:pStyle w:val="ListParagraph"/>
        <w:numPr>
          <w:ilvl w:val="1"/>
          <w:numId w:val="31"/>
        </w:numPr>
        <w:spacing w:after="0"/>
      </w:pPr>
      <w:r>
        <w:t>pārbaudīt, novērst un labot interešu konfliktu, korupciju un krāpšanu pirms pētniecības projektu atlases padomes sēdes, kurā tiks izskatīti pētniecības projekti. Visu īstenošanas laiku nodrošināt pārbaužu dokumentēšanu un apliecinājuma par interešu konflikta nepieļaušanu parakstīšanu pirms pētniecības projektu atlases padomes sēdes, ja nepieciešams, novēršot vai labojot identificētos riskus vai konstatēto interešu konfliktu;</w:t>
      </w:r>
    </w:p>
    <w:p w14:paraId="73627E5E" w14:textId="77777777" w:rsidR="003B55CF" w:rsidRDefault="003B55CF" w:rsidP="006F31C1">
      <w:pPr>
        <w:pStyle w:val="ListParagraph"/>
        <w:numPr>
          <w:ilvl w:val="1"/>
          <w:numId w:val="31"/>
        </w:numPr>
        <w:spacing w:after="0"/>
      </w:pPr>
      <w:r>
        <w:t>pētniecības projekta apstiprināšanas gadījumā pārbaudīt dubultā finansējuma neesību pirms pētniecības projekta apstiprināšanas un visā tā īstenošanas laikā, nodrošinot pārbaužu dokumentēšanu;</w:t>
      </w:r>
    </w:p>
    <w:p w14:paraId="2496D17D" w14:textId="77777777" w:rsidR="003B55CF" w:rsidRDefault="003B55CF" w:rsidP="006F31C1">
      <w:pPr>
        <w:pStyle w:val="ListParagraph"/>
        <w:numPr>
          <w:ilvl w:val="1"/>
          <w:numId w:val="31"/>
        </w:numPr>
        <w:spacing w:after="0"/>
      </w:pPr>
      <w:r>
        <w:t>pirms iesniegšanas Ekonomikas ministrijā un CFLA pārbaudīt atskaites punktus un mērķus pamatojošo dokumentāciju, tai skaitā veikt datu ticamības pārbaudes;</w:t>
      </w:r>
    </w:p>
    <w:p w14:paraId="48EF6D45" w14:textId="77777777" w:rsidR="003B55CF" w:rsidRDefault="003B55CF" w:rsidP="006F31C1">
      <w:pPr>
        <w:pStyle w:val="ListParagraph"/>
        <w:numPr>
          <w:ilvl w:val="1"/>
          <w:numId w:val="31"/>
        </w:numPr>
        <w:spacing w:after="0"/>
      </w:pPr>
      <w:r>
        <w:t>noslēgt līgumu ar sadarbības partneri par pētniecības projekta īstenošanu;</w:t>
      </w:r>
    </w:p>
    <w:p w14:paraId="243FC723" w14:textId="77777777" w:rsidR="003B55CF" w:rsidRDefault="003B55CF" w:rsidP="006F31C1">
      <w:pPr>
        <w:pStyle w:val="ListParagraph"/>
        <w:numPr>
          <w:ilvl w:val="1"/>
          <w:numId w:val="31"/>
        </w:numPr>
        <w:spacing w:after="0"/>
      </w:pPr>
      <w:r>
        <w:t>nodrošināt nozares interešu pārstāvniecību starptautiskajās Eiropas kopējo interešu projektu darba grupās, nodrošinot komunikāciju ar potenciālajiem pētniecības projekta pieteicējiem;</w:t>
      </w:r>
    </w:p>
    <w:p w14:paraId="3DC73FBD" w14:textId="77777777" w:rsidR="003B55CF" w:rsidRDefault="003B55CF" w:rsidP="006F31C1">
      <w:pPr>
        <w:pStyle w:val="ListParagraph"/>
        <w:numPr>
          <w:ilvl w:val="1"/>
          <w:numId w:val="31"/>
        </w:numPr>
        <w:spacing w:after="0"/>
      </w:pPr>
      <w:r>
        <w:lastRenderedPageBreak/>
        <w:t>iesaistīties viedās specializācijas stratēģiju izstrādē viedo specializāciju  jomu vadības grupās 5.1. reformu un investīciju virziena "Produktivitātes paaugstināšana caur investīciju apjoma palielināšanu P&amp;A" 5.1.1.r. reformas "Inovāciju pārvaldība un privāto P&amp;A investīciju motivācija" 5.1.1.1.i. investīcijas  "Pilnvērtīga inovāciju sistēmas pārvaldības modeļa izstrāde un tā nepārtraukta darbināšana" ietvaros;</w:t>
      </w:r>
    </w:p>
    <w:p w14:paraId="1FE50E14" w14:textId="77777777" w:rsidR="003B55CF" w:rsidRDefault="003B55CF" w:rsidP="006F31C1">
      <w:pPr>
        <w:pStyle w:val="ListParagraph"/>
        <w:numPr>
          <w:ilvl w:val="1"/>
          <w:numId w:val="31"/>
        </w:numPr>
        <w:spacing w:after="0"/>
      </w:pPr>
      <w:r>
        <w:t>iesniegt iepirkumu plānu Vadības informācijas sistēmā par visiem investīcijas ieviešanai plānotajiem iepirkumiem, kuru rīkošanai paredzēts piemērot publisko iepirkumu regulējumu, Sabiedrisko pakalpojumu sniedzēju iepirkumu likumu vai Ministru kabineta 2017. gada 28. februāra noteikumus Nr. 104 "Noteikumi par iepirkuma procedūru un tās piemērošanas kārtību pasūtītāja finansētiem projektiem";</w:t>
      </w:r>
    </w:p>
    <w:p w14:paraId="3159D5A1" w14:textId="77777777" w:rsidR="003B55CF" w:rsidRDefault="003B55CF" w:rsidP="006F31C1">
      <w:pPr>
        <w:pStyle w:val="ListParagraph"/>
        <w:numPr>
          <w:ilvl w:val="1"/>
          <w:numId w:val="31"/>
        </w:numPr>
        <w:spacing w:after="0"/>
      </w:pPr>
      <w:r>
        <w:t>izveidot iekšējās kontroles sistēmu, iekļaujot nosacījumus par pārbaudīšanas, novēršanas un labošanas nosacījumiem attiecībā uz korupcijas, krāpšanas, interešu konflikta un dubultā finansējuma vadības procesiem, kā arī iekļaujot nosacījumus par apstākļu noteikšanu un identificēšanu, kas izraisa vai var izraisīt to iestāšanos, novērtēšanu un labošanu;</w:t>
      </w:r>
    </w:p>
    <w:p w14:paraId="5E655C73" w14:textId="77777777" w:rsidR="003B55CF" w:rsidRDefault="003B55CF" w:rsidP="006F31C1">
      <w:pPr>
        <w:pStyle w:val="ListParagraph"/>
        <w:numPr>
          <w:ilvl w:val="1"/>
          <w:numId w:val="31"/>
        </w:numPr>
        <w:spacing w:after="0"/>
      </w:pPr>
      <w:r>
        <w:t>izstrādāt pētniecības projektu atlases kritērijus;</w:t>
      </w:r>
    </w:p>
    <w:p w14:paraId="7198953F" w14:textId="77777777" w:rsidR="003B55CF" w:rsidRDefault="003B55CF" w:rsidP="006F31C1">
      <w:pPr>
        <w:pStyle w:val="ListParagraph"/>
        <w:numPr>
          <w:ilvl w:val="1"/>
          <w:numId w:val="31"/>
        </w:numPr>
        <w:spacing w:after="0"/>
      </w:pPr>
      <w:r>
        <w:t>pārliecināties, ka sadarbības partnera pētniecības projekta izdevumi ir nepieciešami pētījuma rezultātu sasniegšanai un ka šī saistība ir skaidri saprotama un pierādāma, un pētniecības projekta izdevumi ir veikti, ievērojot saimnieciskuma, lietderības un efektivitātes principu;</w:t>
      </w:r>
    </w:p>
    <w:p w14:paraId="05A27A31" w14:textId="77777777" w:rsidR="003B55CF" w:rsidRDefault="003B55CF" w:rsidP="006F31C1">
      <w:pPr>
        <w:pStyle w:val="ListParagraph"/>
        <w:numPr>
          <w:ilvl w:val="1"/>
          <w:numId w:val="31"/>
        </w:numPr>
        <w:spacing w:after="0"/>
      </w:pPr>
      <w:r>
        <w:t>iesniegt visu nepieciešamo informāciju, kas saistīta ar pētniecības projekta īstenošanu, tai skaitā lai pierādītu, ka pētniecības projekta izdevumi ir nepieciešami pētījuma rezultātu sasniegšanai un šī saistība ir skaidri saprotama un pierādāma, un pētniecības izdevumi veikti, ievērojot saimnieciskuma, lietderības un efektivitātes principu;</w:t>
      </w:r>
    </w:p>
    <w:p w14:paraId="45365748" w14:textId="77777777" w:rsidR="003B55CF" w:rsidRDefault="003B55CF" w:rsidP="006F31C1">
      <w:pPr>
        <w:pStyle w:val="ListParagraph"/>
        <w:numPr>
          <w:ilvl w:val="1"/>
          <w:numId w:val="31"/>
        </w:numPr>
        <w:spacing w:after="0"/>
      </w:pPr>
      <w:r>
        <w:t>līdz 2026. gada 30. jūnijam apstiprināt pētniecības projektus par vismaz 2 815 000 euro no 2022.gada 5.jūlija MK noteikumu Nr.418 “</w:t>
      </w:r>
      <w:r w:rsidRPr="004E43CF">
        <w:t>Latvijas Atveseļošanas un noturības mehānisma plāna 5.1.r. reformu un investīciju virziena "Produktivitātes paaugstināšana caur investīciju apjoma palielināšanu P&amp;A" 5.1.1.r. reformas "Inovāciju pārvaldība un privāto P&amp;A investīciju motivācija" 5.1.1.2.i. investīcijas "Atbalsta instruments inovāciju klasteru attīstībai" īstenošanas noteikumi kompetences centru ietvaros</w:t>
      </w:r>
      <w:r>
        <w:t>” 102. punktā minētā finansējuma;</w:t>
      </w:r>
    </w:p>
    <w:p w14:paraId="50BF48CF" w14:textId="77777777" w:rsidR="003B55CF" w:rsidRDefault="003B55CF" w:rsidP="006F31C1">
      <w:pPr>
        <w:pStyle w:val="ListParagraph"/>
        <w:numPr>
          <w:ilvl w:val="1"/>
          <w:numId w:val="31"/>
        </w:numPr>
        <w:spacing w:after="0"/>
      </w:pPr>
      <w:r>
        <w:t>reģistrēt visus saņemtos pētniecības projekta iesniegumus un rakstiski informēt iesniedzēju, nosūtot elektronisko apstiprinājumu par saņemto pētniecības projektu;</w:t>
      </w:r>
    </w:p>
    <w:p w14:paraId="55591D5E" w14:textId="77777777" w:rsidR="003B55CF" w:rsidRDefault="003B55CF" w:rsidP="006F31C1">
      <w:pPr>
        <w:pStyle w:val="ListParagraph"/>
        <w:numPr>
          <w:ilvl w:val="1"/>
          <w:numId w:val="31"/>
        </w:numPr>
        <w:spacing w:after="0"/>
      </w:pPr>
      <w:r>
        <w:t>veikt komercdarbības atbalsta piešķiršanas priekšizvērtējumu pirms atbalstītā pētniecības projekta saraksta iesniegšanas CFLA.</w:t>
      </w:r>
    </w:p>
    <w:p w14:paraId="56C875C4" w14:textId="77777777" w:rsidR="003B55CF" w:rsidRDefault="003B55CF" w:rsidP="003B55CF">
      <w:r>
        <w:t>K</w:t>
      </w:r>
      <w:r w:rsidRPr="005B4F42">
        <w:t>ompetences centram ir tiesības piekļūt ar pētniecības projektu īstenošanu saistītās izmaksas pamatojošu dokumentu oriģināliem un doties uz pētniecības projekta īstenošanas vietu, lai gūtu pārliecību par kompetences centrā iesniegtā pētniecības projekta atbilstību</w:t>
      </w:r>
      <w:r>
        <w:t>.</w:t>
      </w:r>
    </w:p>
    <w:p w14:paraId="635AB924" w14:textId="37D25945" w:rsidR="003B55CF" w:rsidRDefault="003B55CF" w:rsidP="006F31C1">
      <w:pPr>
        <w:pStyle w:val="Heading3"/>
        <w:numPr>
          <w:ilvl w:val="2"/>
          <w:numId w:val="34"/>
        </w:numPr>
      </w:pPr>
      <w:bookmarkStart w:id="84" w:name="_Toc113267416"/>
      <w:r w:rsidRPr="00AA2F49">
        <w:lastRenderedPageBreak/>
        <w:t>Kompetences centra vadītāja loma</w:t>
      </w:r>
      <w:bookmarkEnd w:id="84"/>
    </w:p>
    <w:p w14:paraId="0F950BE3" w14:textId="77777777" w:rsidR="009A5B07" w:rsidRPr="00E5444E" w:rsidRDefault="009A5B07" w:rsidP="009A5B07">
      <w:r w:rsidRPr="00E5444E">
        <w:t>Kompetences centra ikdie</w:t>
      </w:r>
      <w:r>
        <w:t>nas funkcijas veic valde. Valde</w:t>
      </w:r>
      <w:r w:rsidRPr="00E5444E">
        <w:t xml:space="preserve"> pārstāv Kompetences centru attiecībā pret trešajām personām, apstiprina saimnieciskos līgumus, maksājumus un veic pārējās uzņēmuma valdes funkcijas, ko </w:t>
      </w:r>
      <w:r>
        <w:t xml:space="preserve">paredz </w:t>
      </w:r>
      <w:r w:rsidRPr="00E5444E">
        <w:t>likumdošana.</w:t>
      </w:r>
      <w:r>
        <w:t xml:space="preserve"> Valdes dalībnieki ikdienā veic arī citas organizatoriskas funkcijas, kas saistītas ar KC darbību un projektu īstenotāju darbību koordinēšanu.  </w:t>
      </w:r>
    </w:p>
    <w:p w14:paraId="5E7386A0" w14:textId="4E19A5A8" w:rsidR="000924E1" w:rsidRDefault="009A5B07" w:rsidP="000924E1">
      <w:r w:rsidRPr="00E5444E">
        <w:t xml:space="preserve">Kompetences centra vadītāja kompetencē ir lēmumi, kas saistīti ar Kompetences centra pētnieciskajiem projektiem. Kompetences centra </w:t>
      </w:r>
      <w:r w:rsidRPr="00A67CDD">
        <w:t xml:space="preserve">vadītāja loma paredz arī priekšizvērtēt iesniegtos </w:t>
      </w:r>
      <w:r w:rsidRPr="00E5444E">
        <w:t>projektus un projektu atskaites ar mērķi identificēt potenciālus riskus, ja tādi rodas. Kompetences centra vadītājs sadala Zinātnisko virzienu vadītāju kompetences</w:t>
      </w:r>
      <w:r>
        <w:t>,</w:t>
      </w:r>
      <w:r w:rsidRPr="00E5444E">
        <w:t xml:space="preserve"> deleģējot tiem konkrētu, to jom</w:t>
      </w:r>
      <w:r>
        <w:t>ai</w:t>
      </w:r>
      <w:r w:rsidRPr="00E5444E">
        <w:t xml:space="preserve"> piekrītošu</w:t>
      </w:r>
      <w:r>
        <w:t>,</w:t>
      </w:r>
      <w:r w:rsidRPr="00E5444E">
        <w:t xml:space="preserve"> Pētniecības projektu atskaišu vai pieteikumu izskatīšanu un analīzi. </w:t>
      </w:r>
      <w:r w:rsidRPr="00A67CDD">
        <w:t xml:space="preserve">Kompetences centra vadītājs nodrošina </w:t>
      </w:r>
      <w:r w:rsidR="004C498F">
        <w:t>P</w:t>
      </w:r>
      <w:r w:rsidRPr="00A67CDD">
        <w:t>rojektu atlases padomes sēžu vadību</w:t>
      </w:r>
      <w:r w:rsidRPr="00E5444E">
        <w:t>.</w:t>
      </w:r>
    </w:p>
    <w:p w14:paraId="11008BC8" w14:textId="77777777" w:rsidR="000924E1" w:rsidRPr="00CC5B5B" w:rsidRDefault="000924E1" w:rsidP="000924E1">
      <w:pPr>
        <w:pStyle w:val="Heading3"/>
      </w:pPr>
      <w:bookmarkStart w:id="85" w:name="_Toc113267417"/>
      <w:r w:rsidRPr="00CC5B5B">
        <w:t>Kompetences centra zinātnisko virzienu vadītāju loma</w:t>
      </w:r>
      <w:bookmarkEnd w:id="85"/>
    </w:p>
    <w:p w14:paraId="5CFF4176" w14:textId="77777777" w:rsidR="000924E1" w:rsidRPr="00E5444E" w:rsidRDefault="000924E1" w:rsidP="000924E1">
      <w:r w:rsidRPr="00E5444E">
        <w:t xml:space="preserve">Zinātnisko virzienu vadītāji veic to jomām piekrītošu Pētniecības projektu pieteikumu analīzi, kā arī plāno pētniecības programmu. Pētniecības </w:t>
      </w:r>
      <w:r>
        <w:t>programma</w:t>
      </w:r>
      <w:r w:rsidRPr="00E5444E">
        <w:t xml:space="preserve"> pamatā sastāv no konkrētai jomai piekrītošiem apstiprinātiem projektiem un, gadījumā</w:t>
      </w:r>
      <w:r>
        <w:t>,</w:t>
      </w:r>
      <w:r w:rsidRPr="00E5444E">
        <w:t xml:space="preserve"> ja zinātnisko virzienu vadītāji konstatē, ka iesniegtie projekti neatbilst pētniecības jomai un Kompetences centra stratēģijai, tie par šo neatbilstību informē Projektu atlases padomi. </w:t>
      </w:r>
    </w:p>
    <w:p w14:paraId="477F227C" w14:textId="77777777" w:rsidR="000924E1" w:rsidRPr="00E5444E" w:rsidRDefault="000924E1" w:rsidP="000924E1">
      <w:r>
        <w:t>Zinātnisko virzienu</w:t>
      </w:r>
      <w:r w:rsidRPr="00E5444E">
        <w:t xml:space="preserve"> vadītāji to kompetences ietvaros arī konsultē Sadarbības partnerus, kuri </w:t>
      </w:r>
      <w:r>
        <w:t>īsteno</w:t>
      </w:r>
      <w:r w:rsidRPr="00E5444E">
        <w:t xml:space="preserve"> piekrītošās jomās projektus, kā arī proaktīvi meklē ambiciozus un daudzsološus projektus tiem piekrītošajā industrijā</w:t>
      </w:r>
      <w:r>
        <w:t>,</w:t>
      </w:r>
      <w:r w:rsidRPr="00E5444E">
        <w:t xml:space="preserve"> popularizējot iespēju komercsabiedrībām veikt P&amp;A balstītu attīstības izrāvienu</w:t>
      </w:r>
      <w:r>
        <w:t>,</w:t>
      </w:r>
      <w:r w:rsidRPr="00E5444E">
        <w:t xml:space="preserve"> izmantojot Kompeten</w:t>
      </w:r>
      <w:r>
        <w:t>ces centra atbalstu. Zinātnisko virzienu vadītāju</w:t>
      </w:r>
      <w:r w:rsidRPr="00E5444E">
        <w:t xml:space="preserve"> funkcija ir tikai atrast, identificēt, konsultēt un uzaicināt iesniegt projektu Kompetences centrā. Visiem projektiem Kompetences centrā atlases padomē tiek nodrošināta vienlīdzīga attieksme.</w:t>
      </w:r>
    </w:p>
    <w:p w14:paraId="735AC7FC" w14:textId="77777777" w:rsidR="000924E1" w:rsidRPr="00E5444E" w:rsidRDefault="000924E1" w:rsidP="000924E1">
      <w:r w:rsidRPr="00E5444E">
        <w:t>Zinātnisko virzienu vadītāji, kopā ar Kompetences centra vadītāju pieņem lēmumus par finansējuma apstādināšanu projektiem, ja tie acīmredzami nesasniedz mērķus vai rada riskus Kompetences centram. Šād</w:t>
      </w:r>
      <w:r>
        <w:t>s</w:t>
      </w:r>
      <w:r w:rsidRPr="00E5444E">
        <w:t xml:space="preserve"> lēmum</w:t>
      </w:r>
      <w:r>
        <w:t>s</w:t>
      </w:r>
      <w:r w:rsidRPr="00E5444E">
        <w:t xml:space="preserve"> jāapstiprina valdei. Ja atbildīgais zinātnisko virzienu vadītājs kopā ar Kompetences centra vadītāju nevar pieņemt projekta apstādināšanas lēmumu, tad tie šo lēmumu var deleģēt nākošajai projektu atlases padome</w:t>
      </w:r>
      <w:r>
        <w:t>s sēdei</w:t>
      </w:r>
      <w:r w:rsidRPr="00E5444E">
        <w:t>.</w:t>
      </w:r>
    </w:p>
    <w:p w14:paraId="7CB6FFAF" w14:textId="77777777" w:rsidR="000924E1" w:rsidRPr="00E5444E" w:rsidRDefault="000924E1" w:rsidP="000924E1">
      <w:r w:rsidRPr="00E5444E">
        <w:t>Zinātnisko virzienu vadītāji projektu izmaiņu gadījumā izvērtē</w:t>
      </w:r>
      <w:r>
        <w:t>,</w:t>
      </w:r>
      <w:r w:rsidRPr="00E5444E">
        <w:t xml:space="preserve"> vai Sadarbības partneru pieteiktās izmaiņas nodrošina līdzvērtīgus rezultātus un kvalitāti </w:t>
      </w:r>
      <w:r>
        <w:t>iepriekš apstiprinātam</w:t>
      </w:r>
      <w:r w:rsidRPr="00E5444E">
        <w:t xml:space="preserve"> projekt</w:t>
      </w:r>
      <w:r>
        <w:t>am</w:t>
      </w:r>
      <w:r w:rsidRPr="00E5444E">
        <w:t>.</w:t>
      </w:r>
    </w:p>
    <w:p w14:paraId="137BE792" w14:textId="77777777" w:rsidR="000924E1" w:rsidRPr="00CC5B5B" w:rsidRDefault="000924E1" w:rsidP="000924E1">
      <w:pPr>
        <w:pStyle w:val="Heading3"/>
      </w:pPr>
      <w:bookmarkStart w:id="86" w:name="_Toc113267418"/>
      <w:r w:rsidRPr="00CC5B5B">
        <w:t>Projektu atlases padomes sastāvs un loma</w:t>
      </w:r>
      <w:bookmarkEnd w:id="86"/>
    </w:p>
    <w:p w14:paraId="136F7D6B" w14:textId="0260DEBD" w:rsidR="000924E1" w:rsidRDefault="000924E1" w:rsidP="000924E1">
      <w:r w:rsidRPr="00E5444E">
        <w:t xml:space="preserve">Projektu atlases padomes koleģiāli pieņem lēmumus par projektu apstiprināšanu, izmantojot Zinātnisko virzienu vadītāju un </w:t>
      </w:r>
      <w:r w:rsidR="004C498F">
        <w:t>nepieciešamības gadījumā ārējo</w:t>
      </w:r>
      <w:r w:rsidRPr="00E5444E">
        <w:t xml:space="preserve"> ekspertu sniegtos atzinumus.</w:t>
      </w:r>
    </w:p>
    <w:p w14:paraId="372B403F" w14:textId="7ED6DBEF" w:rsidR="000924E1" w:rsidRPr="000E1675" w:rsidRDefault="000924E1" w:rsidP="000924E1">
      <w:r w:rsidRPr="000E1675">
        <w:t>Pētniecības projektu atlases padomē iekļauj šādus dalībniekus</w:t>
      </w:r>
      <w:r w:rsidR="005B4CA8">
        <w:t xml:space="preserve"> ar vismaz sekojo</w:t>
      </w:r>
      <w:r w:rsidR="005B4CA8" w:rsidRPr="002319D2">
        <w:t>š</w:t>
      </w:r>
      <w:r w:rsidR="005B4CA8">
        <w:t xml:space="preserve">ajām </w:t>
      </w:r>
      <w:r w:rsidR="00660053">
        <w:t>prasībām, vērtēšanas komisijas var lemt par stingrāku prasību pielāgošanu konkrētai nozarei</w:t>
      </w:r>
      <w:r>
        <w:t>:</w:t>
      </w:r>
    </w:p>
    <w:p w14:paraId="114C8A94" w14:textId="67FFF46C" w:rsidR="000924E1" w:rsidRPr="000E1675" w:rsidRDefault="000924E1" w:rsidP="006F31C1">
      <w:pPr>
        <w:pStyle w:val="ListParagraph"/>
        <w:numPr>
          <w:ilvl w:val="0"/>
          <w:numId w:val="35"/>
        </w:numPr>
        <w:shd w:val="clear" w:color="auto" w:fill="auto"/>
        <w:spacing w:after="0"/>
      </w:pPr>
      <w:r w:rsidRPr="000E1675">
        <w:t>vairākus nozares komersantu, kuri ieguvuši augstāko izglītību attiecīgajā nozarē vai augstāko izglītību un vismaz piecu gadu darba pieredzi attiecīgajā nozarē;</w:t>
      </w:r>
    </w:p>
    <w:p w14:paraId="406D1380" w14:textId="77777777" w:rsidR="000924E1" w:rsidRPr="000E1675" w:rsidRDefault="000924E1" w:rsidP="006F31C1">
      <w:pPr>
        <w:pStyle w:val="ListParagraph"/>
        <w:numPr>
          <w:ilvl w:val="0"/>
          <w:numId w:val="35"/>
        </w:numPr>
        <w:shd w:val="clear" w:color="auto" w:fill="auto"/>
        <w:spacing w:after="0"/>
      </w:pPr>
      <w:r w:rsidRPr="000E1675">
        <w:t>pētniecības un zināšanu izplatīšanas organizāciju pārstāvjus, kuri ieguvuši maģistra vai zinātņu doktora grādu attiecīgajā nozarē;</w:t>
      </w:r>
    </w:p>
    <w:p w14:paraId="3391F722" w14:textId="77777777" w:rsidR="000924E1" w:rsidRPr="000E1675" w:rsidRDefault="000924E1" w:rsidP="006F31C1">
      <w:pPr>
        <w:pStyle w:val="ListParagraph"/>
        <w:numPr>
          <w:ilvl w:val="0"/>
          <w:numId w:val="35"/>
        </w:numPr>
        <w:shd w:val="clear" w:color="auto" w:fill="auto"/>
        <w:spacing w:after="0"/>
      </w:pPr>
      <w:r w:rsidRPr="000E1675">
        <w:lastRenderedPageBreak/>
        <w:t>virziena zinātniskos vadītājus;</w:t>
      </w:r>
    </w:p>
    <w:p w14:paraId="01C2A0D5" w14:textId="77777777" w:rsidR="000924E1" w:rsidRPr="000E1675" w:rsidRDefault="000924E1" w:rsidP="006F31C1">
      <w:pPr>
        <w:pStyle w:val="ListParagraph"/>
        <w:numPr>
          <w:ilvl w:val="0"/>
          <w:numId w:val="35"/>
        </w:numPr>
        <w:shd w:val="clear" w:color="auto" w:fill="auto"/>
        <w:spacing w:after="0"/>
      </w:pPr>
      <w:r>
        <w:t>Ekonomikas</w:t>
      </w:r>
      <w:r w:rsidRPr="000E1675">
        <w:t xml:space="preserve"> ministrijas pārstāvi;</w:t>
      </w:r>
    </w:p>
    <w:p w14:paraId="22A0B7D0" w14:textId="731D14C1" w:rsidR="000924E1" w:rsidRPr="000E1675" w:rsidRDefault="000924E1" w:rsidP="006F31C1">
      <w:pPr>
        <w:pStyle w:val="ListParagraph"/>
        <w:numPr>
          <w:ilvl w:val="0"/>
          <w:numId w:val="35"/>
        </w:numPr>
        <w:shd w:val="clear" w:color="auto" w:fill="auto"/>
        <w:spacing w:after="0"/>
      </w:pPr>
      <w:r w:rsidRPr="000E1675">
        <w:t xml:space="preserve">citu nozaru kompetences centru, sadarbības tīklu, asociāciju vai citu organizāciju pārstāvjus, ja par to nolemj </w:t>
      </w:r>
      <w:r w:rsidR="004C498F">
        <w:t>P</w:t>
      </w:r>
      <w:r w:rsidRPr="000E1675">
        <w:t>rojektu atlases padome.</w:t>
      </w:r>
    </w:p>
    <w:p w14:paraId="0AB87565" w14:textId="77777777" w:rsidR="000924E1" w:rsidRPr="006D692F" w:rsidRDefault="000924E1" w:rsidP="000924E1">
      <w:r w:rsidRPr="006D692F">
        <w:t>Pētniecības projektu atlases padomei ir šādi uzdevumi, kas jāveic kompetences centra ietvaros:</w:t>
      </w:r>
    </w:p>
    <w:p w14:paraId="617C4B1A" w14:textId="77777777" w:rsidR="000924E1" w:rsidRPr="006D692F" w:rsidRDefault="000924E1" w:rsidP="006F31C1">
      <w:pPr>
        <w:pStyle w:val="ListParagraph"/>
        <w:numPr>
          <w:ilvl w:val="0"/>
          <w:numId w:val="35"/>
        </w:numPr>
        <w:shd w:val="clear" w:color="auto" w:fill="auto"/>
        <w:spacing w:after="0"/>
      </w:pPr>
      <w:r w:rsidRPr="006D692F">
        <w:t>pārliecināties, ka pētniecības projektā ir norādīta un analizēta veicamo vai jau veikto investīciju lietderība un pamatotība, kā arī komercializācijas potenciāls;</w:t>
      </w:r>
    </w:p>
    <w:p w14:paraId="785A131C" w14:textId="77777777" w:rsidR="000924E1" w:rsidRPr="006D692F" w:rsidRDefault="000924E1" w:rsidP="006F31C1">
      <w:pPr>
        <w:pStyle w:val="ListParagraph"/>
        <w:numPr>
          <w:ilvl w:val="0"/>
          <w:numId w:val="35"/>
        </w:numPr>
        <w:shd w:val="clear" w:color="auto" w:fill="auto"/>
        <w:spacing w:after="0"/>
      </w:pPr>
      <w:r w:rsidRPr="006D692F">
        <w:t>pārliecināties, ka ir norādīta pētniecības projekta atbilstība definētajai kompetences centra attīstības stratēģijai;</w:t>
      </w:r>
    </w:p>
    <w:p w14:paraId="329C243D" w14:textId="77777777" w:rsidR="000924E1" w:rsidRPr="006D692F" w:rsidRDefault="000924E1" w:rsidP="006F31C1">
      <w:pPr>
        <w:pStyle w:val="ListParagraph"/>
        <w:numPr>
          <w:ilvl w:val="0"/>
          <w:numId w:val="35"/>
        </w:numPr>
        <w:shd w:val="clear" w:color="auto" w:fill="auto"/>
        <w:spacing w:after="0"/>
      </w:pPr>
      <w:r w:rsidRPr="006D692F">
        <w:t>pārliecināties, ka pētniecības projektā definētie rādītāji ir sasniedzami noteiktajā laikā;</w:t>
      </w:r>
    </w:p>
    <w:p w14:paraId="2B2716CC" w14:textId="77777777" w:rsidR="000924E1" w:rsidRPr="006D692F" w:rsidRDefault="000924E1" w:rsidP="006F31C1">
      <w:pPr>
        <w:pStyle w:val="ListParagraph"/>
        <w:numPr>
          <w:ilvl w:val="0"/>
          <w:numId w:val="35"/>
        </w:numPr>
        <w:shd w:val="clear" w:color="auto" w:fill="auto"/>
        <w:spacing w:after="0"/>
      </w:pPr>
      <w:r w:rsidRPr="006D692F">
        <w:t>lemt par eksperta iesaisti pētniecības projekta vērtēšanā;</w:t>
      </w:r>
    </w:p>
    <w:p w14:paraId="15A25366" w14:textId="77777777" w:rsidR="000924E1" w:rsidRPr="006D692F" w:rsidRDefault="000924E1" w:rsidP="006F31C1">
      <w:pPr>
        <w:pStyle w:val="ListParagraph"/>
        <w:numPr>
          <w:ilvl w:val="0"/>
          <w:numId w:val="35"/>
        </w:numPr>
        <w:shd w:val="clear" w:color="auto" w:fill="auto"/>
        <w:spacing w:after="0"/>
      </w:pPr>
      <w:r w:rsidRPr="006D692F">
        <w:t>lemt par pētniecības projekta pieteikuma apstiprināšanu vai noraidīšanu;</w:t>
      </w:r>
    </w:p>
    <w:p w14:paraId="0F6627E1" w14:textId="77777777" w:rsidR="000924E1" w:rsidRPr="006D692F" w:rsidRDefault="000924E1" w:rsidP="006F31C1">
      <w:pPr>
        <w:pStyle w:val="ListParagraph"/>
        <w:numPr>
          <w:ilvl w:val="0"/>
          <w:numId w:val="35"/>
        </w:numPr>
        <w:shd w:val="clear" w:color="auto" w:fill="auto"/>
        <w:spacing w:after="0"/>
      </w:pPr>
      <w:r w:rsidRPr="006D692F">
        <w:t>uzraudzīt, lai pētniecības projektos tiktu izpildīti noteiktie starpposmu un gala rezultātu rādītāji;</w:t>
      </w:r>
    </w:p>
    <w:p w14:paraId="5D14A293" w14:textId="77777777" w:rsidR="000924E1" w:rsidRPr="006D692F" w:rsidRDefault="000924E1" w:rsidP="006F31C1">
      <w:pPr>
        <w:pStyle w:val="ListParagraph"/>
        <w:numPr>
          <w:ilvl w:val="0"/>
          <w:numId w:val="35"/>
        </w:numPr>
        <w:shd w:val="clear" w:color="auto" w:fill="auto"/>
        <w:spacing w:after="0"/>
      </w:pPr>
      <w:r w:rsidRPr="006D692F">
        <w:t xml:space="preserve">uzraudzīt, lai tiktu sasniegti </w:t>
      </w:r>
      <w:r>
        <w:t>2022.gada 5.jūlija MK noteikumu Nr.418 “</w:t>
      </w:r>
      <w:r w:rsidRPr="004E43CF">
        <w:t>Latvijas Atveseļošanas un noturības mehānisma plāna 5.1.r. reformu un investīciju virziena "Produktivitātes paaugstināšana caur investīciju apjoma palielināšanu P&amp;A" 5.1.1.r. reformas "Inovāciju pārvaldība un privāto P&amp;A investīciju motivācija" 5.1.1.2.i. investīcijas "Atbalsta instruments inovāciju klasteru attīstībai" īstenošanas noteikumi kompetences centru ietvaros</w:t>
      </w:r>
      <w:r>
        <w:t xml:space="preserve">” </w:t>
      </w:r>
      <w:hyperlink r:id="rId52" w:anchor="p12" w:tgtFrame="_blank" w:history="1">
        <w:r w:rsidRPr="006D692F">
          <w:t>12. punktā</w:t>
        </w:r>
      </w:hyperlink>
      <w:r w:rsidRPr="006D692F">
        <w:t> minētie kompetences centra darbības rādītāji;</w:t>
      </w:r>
    </w:p>
    <w:p w14:paraId="7BADD84F" w14:textId="77777777" w:rsidR="000924E1" w:rsidRPr="006D692F" w:rsidRDefault="000924E1" w:rsidP="006F31C1">
      <w:pPr>
        <w:pStyle w:val="ListParagraph"/>
        <w:numPr>
          <w:ilvl w:val="0"/>
          <w:numId w:val="35"/>
        </w:numPr>
        <w:shd w:val="clear" w:color="auto" w:fill="auto"/>
        <w:spacing w:after="0"/>
      </w:pPr>
      <w:r w:rsidRPr="006D692F">
        <w:t>ja nepieciešams, iesaistīt ekspertus pirms pētniecības projekta noslēguma maksājuma iesniegšanas aģentūrā, lai gūtu pārliecību, ka veiktie ieguldījumi ir bijuši lietderīgi un pamatoti pētniecības projekta rezultātu sasniegšanā;</w:t>
      </w:r>
    </w:p>
    <w:p w14:paraId="57505904" w14:textId="77777777" w:rsidR="000924E1" w:rsidRPr="006D692F" w:rsidRDefault="000924E1" w:rsidP="006F31C1">
      <w:pPr>
        <w:pStyle w:val="ListParagraph"/>
        <w:numPr>
          <w:ilvl w:val="0"/>
          <w:numId w:val="35"/>
        </w:numPr>
        <w:shd w:val="clear" w:color="auto" w:fill="auto"/>
        <w:spacing w:after="0"/>
      </w:pPr>
      <w:r w:rsidRPr="006D692F">
        <w:t>pārliecināties par dubultā finansējuma riska, interešu konflikta, krāpšanas un korupcijas neesību pētniecības projektu izvērtēšanas un apstiprināšanas procesā, veicot nepieciešamās darbības to novēršanā un labošanā, nodrošinot objektivitāti un vienlīdzīgu pieeju visiem pētniecības projektu pieteicējiem;</w:t>
      </w:r>
    </w:p>
    <w:p w14:paraId="4073D448" w14:textId="77777777" w:rsidR="000924E1" w:rsidRPr="006D692F" w:rsidRDefault="000924E1" w:rsidP="006F31C1">
      <w:pPr>
        <w:pStyle w:val="ListParagraph"/>
        <w:numPr>
          <w:ilvl w:val="0"/>
          <w:numId w:val="35"/>
        </w:numPr>
        <w:shd w:val="clear" w:color="auto" w:fill="auto"/>
        <w:spacing w:after="0"/>
      </w:pPr>
      <w:r w:rsidRPr="006D692F">
        <w:t>nodrošināt pētniecības projektu izvērtēšanas dokumentēšanu un caurspīdīgumu;</w:t>
      </w:r>
    </w:p>
    <w:p w14:paraId="36A3A23A" w14:textId="77777777" w:rsidR="000924E1" w:rsidRPr="006D692F" w:rsidRDefault="000924E1" w:rsidP="006F31C1">
      <w:pPr>
        <w:pStyle w:val="ListParagraph"/>
        <w:numPr>
          <w:ilvl w:val="0"/>
          <w:numId w:val="35"/>
        </w:numPr>
        <w:shd w:val="clear" w:color="auto" w:fill="auto"/>
        <w:spacing w:after="0"/>
      </w:pPr>
      <w:r w:rsidRPr="006D692F">
        <w:t>nodrošināt, ka pētniecības projektu izvērtēšanas procesā tiek ievērota dzimumu līdztiesība un vienlīdzīgu iespēju princips;</w:t>
      </w:r>
    </w:p>
    <w:p w14:paraId="3E935D44" w14:textId="77777777" w:rsidR="000924E1" w:rsidRPr="006D692F" w:rsidRDefault="000924E1" w:rsidP="006F31C1">
      <w:pPr>
        <w:pStyle w:val="ListParagraph"/>
        <w:numPr>
          <w:ilvl w:val="0"/>
          <w:numId w:val="35"/>
        </w:numPr>
        <w:shd w:val="clear" w:color="auto" w:fill="auto"/>
        <w:spacing w:after="0"/>
      </w:pPr>
      <w:r w:rsidRPr="006D692F">
        <w:t>nodrošināt principa "nenodarīt būtisku kaitējumu" ievērošanu pētniecības projektu apstiprināšanā, lai iekļautā darbība ir nebūtiska vai tai ir neesoša paredzamā ietekme uz visiem vides mērķiem, vērtējot gan tiešās, gan primārās netiešās sekas visā aprites ciklā saskaņā ar Eiropas Parlamenta un Padomes 2021. gada 12. februāra Regulas (ES) Nr. </w:t>
      </w:r>
      <w:hyperlink r:id="rId53" w:tgtFrame="_blank" w:history="1">
        <w:r w:rsidRPr="006D692F">
          <w:t>2021/241</w:t>
        </w:r>
      </w:hyperlink>
      <w:r w:rsidRPr="006D692F">
        <w:t>, ar ko izveido Atveseļošanas un noturības mehānismu, 2. panta 6. punktu;</w:t>
      </w:r>
    </w:p>
    <w:p w14:paraId="366DDD82" w14:textId="77777777" w:rsidR="000924E1" w:rsidRPr="006D692F" w:rsidRDefault="000924E1" w:rsidP="006F31C1">
      <w:pPr>
        <w:pStyle w:val="ListParagraph"/>
        <w:numPr>
          <w:ilvl w:val="0"/>
          <w:numId w:val="35"/>
        </w:numPr>
        <w:shd w:val="clear" w:color="auto" w:fill="auto"/>
        <w:spacing w:after="0"/>
      </w:pPr>
      <w:r w:rsidRPr="006D692F">
        <w:t>pārliecināties, ka sadarbības partnera pētniecības projekta izdevumi ir nepieciešami pētījuma rezultātu sasniegšanai un šī saistība ir skaidri saprotama un pierādāma, kā arī pētniecības projekta izdevumi veikti, ievērojot saimnieciskuma, lietderības un efektivitātes principu;</w:t>
      </w:r>
    </w:p>
    <w:p w14:paraId="2FD79BF8" w14:textId="77777777" w:rsidR="000924E1" w:rsidRPr="006D692F" w:rsidRDefault="000924E1" w:rsidP="006F31C1">
      <w:pPr>
        <w:pStyle w:val="ListParagraph"/>
        <w:numPr>
          <w:ilvl w:val="0"/>
          <w:numId w:val="35"/>
        </w:numPr>
        <w:shd w:val="clear" w:color="auto" w:fill="auto"/>
        <w:spacing w:after="0"/>
      </w:pPr>
      <w:r w:rsidRPr="006D692F">
        <w:t>nodrošināt, ka tiek aizpildīts eksperta individuālais vērtējums par pētniecības projektu atbilstību noteiktajiem kritērijiem, pirms vērtējuma parakstot apliecinājumu par interešu konflikta neesību. Vērtējums jāsniedz visiem, kuri ar balsstiesībām piedalās pētniecības projektu atlases padomē.</w:t>
      </w:r>
    </w:p>
    <w:p w14:paraId="7D874777" w14:textId="77777777" w:rsidR="000924E1" w:rsidRPr="00EC3534" w:rsidRDefault="000924E1" w:rsidP="000924E1">
      <w:pPr>
        <w:pStyle w:val="Heading3"/>
      </w:pPr>
      <w:bookmarkStart w:id="87" w:name="_Toc113267419"/>
      <w:r w:rsidRPr="00EC3534">
        <w:lastRenderedPageBreak/>
        <w:t>Pēc kādiem principiem tiks lemts vai piesaistīt pētniecības projekta vērtēšanā starptautiskos vai vietējos ekspertus</w:t>
      </w:r>
      <w:bookmarkEnd w:id="87"/>
    </w:p>
    <w:p w14:paraId="49CDA048" w14:textId="77777777" w:rsidR="000924E1" w:rsidRPr="00E5444E" w:rsidRDefault="000924E1" w:rsidP="000924E1">
      <w:r w:rsidRPr="00E5444E">
        <w:t xml:space="preserve">Projektu vērtēšanas sākuma fāzēs un pirms katra etapa </w:t>
      </w:r>
      <w:r>
        <w:t>var</w:t>
      </w:r>
      <w:r w:rsidRPr="00E5444E">
        <w:t xml:space="preserve"> t</w:t>
      </w:r>
      <w:r>
        <w:t>ikt</w:t>
      </w:r>
      <w:r w:rsidRPr="00E5444E">
        <w:t xml:space="preserve"> piesaistīti</w:t>
      </w:r>
      <w:r>
        <w:t xml:space="preserve"> eksperti, kuru uzdevums ir</w:t>
      </w:r>
      <w:r w:rsidRPr="00E5444E">
        <w:t>:</w:t>
      </w:r>
    </w:p>
    <w:p w14:paraId="708AD454" w14:textId="77777777" w:rsidR="000924E1" w:rsidRPr="00E5444E" w:rsidRDefault="000924E1" w:rsidP="006F31C1">
      <w:pPr>
        <w:pStyle w:val="ListParagraph"/>
        <w:numPr>
          <w:ilvl w:val="0"/>
          <w:numId w:val="19"/>
        </w:numPr>
        <w:spacing w:after="0"/>
      </w:pPr>
      <w:r>
        <w:t>sniegt izvērtējumu par projekta</w:t>
      </w:r>
      <w:r w:rsidRPr="00E5444E">
        <w:t xml:space="preserve"> riskiem no finanšu viedokļa;</w:t>
      </w:r>
    </w:p>
    <w:p w14:paraId="1900831E" w14:textId="77777777" w:rsidR="000924E1" w:rsidRPr="00E5444E" w:rsidRDefault="000924E1" w:rsidP="006F31C1">
      <w:pPr>
        <w:pStyle w:val="ListParagraph"/>
        <w:numPr>
          <w:ilvl w:val="0"/>
          <w:numId w:val="19"/>
        </w:numPr>
        <w:spacing w:after="0"/>
      </w:pPr>
      <w:r>
        <w:t>s</w:t>
      </w:r>
      <w:r w:rsidRPr="00E5444E">
        <w:t>niegt izvērtējumu par projekta iesniedzēja finanšu kapacitāti, tirgus pozīciju un projekta samērīgumu;</w:t>
      </w:r>
    </w:p>
    <w:p w14:paraId="43B2DF41" w14:textId="77777777" w:rsidR="000924E1" w:rsidRPr="00E5444E" w:rsidRDefault="000924E1" w:rsidP="006F31C1">
      <w:pPr>
        <w:pStyle w:val="ListParagraph"/>
        <w:numPr>
          <w:ilvl w:val="0"/>
          <w:numId w:val="19"/>
        </w:numPr>
        <w:spacing w:after="0"/>
      </w:pPr>
      <w:r>
        <w:t>s</w:t>
      </w:r>
      <w:r w:rsidRPr="00E5444E">
        <w:t xml:space="preserve">niegt izvērtējumu un vajadzības gadījumā konsultācijas par izmaksu attiecināmību atbilstoši P&amp;A izmaksu klasifikācijai un </w:t>
      </w:r>
      <w:r>
        <w:t>d</w:t>
      </w:r>
      <w:r w:rsidRPr="00E5444E">
        <w:t>okumentu prasībām;</w:t>
      </w:r>
    </w:p>
    <w:p w14:paraId="402B93C9" w14:textId="77777777" w:rsidR="000924E1" w:rsidRPr="00E5444E" w:rsidRDefault="000924E1" w:rsidP="006F31C1">
      <w:pPr>
        <w:pStyle w:val="ListParagraph"/>
        <w:numPr>
          <w:ilvl w:val="0"/>
          <w:numId w:val="19"/>
        </w:numPr>
        <w:spacing w:after="0"/>
      </w:pPr>
      <w:r>
        <w:t>s</w:t>
      </w:r>
      <w:r w:rsidRPr="00E5444E">
        <w:t xml:space="preserve">niegt izvērtējumu un konsultācijas iepirkumu jautājumos, lai veiktie iepirkumi atbilstu </w:t>
      </w:r>
      <w:r>
        <w:t>d</w:t>
      </w:r>
      <w:r w:rsidRPr="00E5444E">
        <w:t>okumentu prasībām;</w:t>
      </w:r>
    </w:p>
    <w:p w14:paraId="62D15152" w14:textId="77777777" w:rsidR="000924E1" w:rsidRPr="00E5444E" w:rsidRDefault="000924E1" w:rsidP="006F31C1">
      <w:pPr>
        <w:pStyle w:val="ListParagraph"/>
        <w:numPr>
          <w:ilvl w:val="0"/>
          <w:numId w:val="19"/>
        </w:numPr>
        <w:spacing w:after="0"/>
      </w:pPr>
      <w:r>
        <w:t>s</w:t>
      </w:r>
      <w:r w:rsidRPr="00E5444E">
        <w:t>niegt izvērtējumu</w:t>
      </w:r>
      <w:r>
        <w:t>,</w:t>
      </w:r>
      <w:r w:rsidRPr="00E5444E">
        <w:t xml:space="preserve"> vai projektu starprezultātos nav acīmredzamas plaģiāta pazīmes</w:t>
      </w:r>
      <w:r>
        <w:t xml:space="preserve"> </w:t>
      </w:r>
      <w:r w:rsidRPr="00E5444E">
        <w:t>vai citas acīmredzamas problēmas</w:t>
      </w:r>
      <w:r>
        <w:t>.</w:t>
      </w:r>
    </w:p>
    <w:p w14:paraId="1329A5B0" w14:textId="77777777" w:rsidR="000924E1" w:rsidRDefault="000924E1" w:rsidP="000924E1">
      <w:r w:rsidRPr="00245621">
        <w:t xml:space="preserve">Ārējo ekspertu viedoklis ir rekomendējoša rakstura un to izmantošanas mērķis ir samazināt </w:t>
      </w:r>
      <w:r>
        <w:t>projektu</w:t>
      </w:r>
      <w:r w:rsidRPr="00245621">
        <w:t xml:space="preserve"> atlases padomes un Zinātnisko virzienu vadītāju noslodzi tehniskos, finanšu un juridiskos jautājumos.</w:t>
      </w:r>
    </w:p>
    <w:p w14:paraId="3FC5FDD2" w14:textId="4C474A72" w:rsidR="000924E1" w:rsidRPr="00A67CDD" w:rsidRDefault="000924E1" w:rsidP="000924E1">
      <w:r w:rsidRPr="00A67CDD">
        <w:t xml:space="preserve">Ekonomikas ministrija pētniecības projektu vērtēšanai var piesaistīt starptautiskos vai vietējos ekspertus. Ja tiek slēgta vienošanās ar Eiropas Komisijas zinātnisko ekspertu datubāzē vai citā zinātnisko ekspertu datubāzē reģistrētu ekspertu tādiem pakalpojumiem pētniecības un attīstības jomā, kas saistīti ar pētniecības projektu iesniegumu sākotnējo zinātnisko novērtējumu vai šādu projektu starpposma vai sasniegto rezultātu novērtējumu, tad tiek piemērota normatīvajos aktos publisko iepirkumu jomā noteiktā izņēmuma procedūra. Par eksperta piesaisti pētniecības projekta vērtēšanai lemj </w:t>
      </w:r>
      <w:r w:rsidR="002E54B4">
        <w:t>P</w:t>
      </w:r>
      <w:r w:rsidRPr="00A67CDD">
        <w:t xml:space="preserve">rojektu atlases padomes ietvaros. Pēc eksperta vērtējuma saņemšanas pētniecības projekts tiek atkārtoti skatīts </w:t>
      </w:r>
      <w:r w:rsidR="002E54B4">
        <w:t>P</w:t>
      </w:r>
      <w:r w:rsidRPr="00A67CDD">
        <w:t>rojektu atlases padomē un padome lemj par pētniecības projekta apstiprināšanu vai noraidīšanu.</w:t>
      </w:r>
    </w:p>
    <w:p w14:paraId="29A73390" w14:textId="77777777" w:rsidR="000924E1" w:rsidRPr="003A1AC6" w:rsidRDefault="000924E1" w:rsidP="000924E1">
      <w:pPr>
        <w:rPr>
          <w:bCs/>
        </w:rPr>
      </w:pPr>
      <w:r w:rsidRPr="003A1AC6">
        <w:rPr>
          <w:bCs/>
        </w:rPr>
        <w:t xml:space="preserve">Starpnozaru ekspertus (jeb citu nozaru kompetences centru, klasteru vai asociāciju un, ja nepieciešams, arī citu organizāciju pārstāvjus) piesaista gadījumos, ja esošajai KC atlases padomei nav pietiekama kompetence starpnozaru projektu izvērtēšanā. </w:t>
      </w:r>
    </w:p>
    <w:p w14:paraId="096B1837" w14:textId="146F85CA" w:rsidR="009A5B07" w:rsidRDefault="000924E1" w:rsidP="008C738A">
      <w:r w:rsidRPr="00245621">
        <w:t>Starptautiskos ekspertus plānots piesaistīt tikai gadījumos, kad ir sarežģīti, jomas vai konkrētas nišas specifiski jautājumi, kuros vai nu esošie eksperti atrodas interešu konfliktā vai arī nav vietējo ekspertu ar atbilstošu kvalifikāciju. Starptautiskos ekspertus plānots piesaistīt gadījumos</w:t>
      </w:r>
      <w:r>
        <w:t>,</w:t>
      </w:r>
      <w:r w:rsidRPr="00245621">
        <w:t xml:space="preserve"> ja jāveic projekta ekspertīze, lai izvērtētu tā apstādināšanas iespēju, bet vietējie eksperti ir iesaistīti projektā un atradīsies acīmredzamā interešu konfliktā. </w:t>
      </w:r>
    </w:p>
    <w:p w14:paraId="746416C6" w14:textId="25751BFC" w:rsidR="00192AB6" w:rsidRDefault="00192AB6" w:rsidP="006F31C1">
      <w:pPr>
        <w:pStyle w:val="Heading2"/>
        <w:numPr>
          <w:ilvl w:val="1"/>
          <w:numId w:val="41"/>
        </w:numPr>
      </w:pPr>
      <w:bookmarkStart w:id="88" w:name="_Toc119072238"/>
      <w:r>
        <w:t>P</w:t>
      </w:r>
      <w:r w:rsidRPr="00B92A5B">
        <w:t>lānota</w:t>
      </w:r>
      <w:r>
        <w:t>i</w:t>
      </w:r>
      <w:r w:rsidRPr="00B92A5B">
        <w:t xml:space="preserve">s kompetences centra </w:t>
      </w:r>
      <w:r>
        <w:t>P</w:t>
      </w:r>
      <w:r w:rsidRPr="00B92A5B">
        <w:t>rojekta atlases padomes sē</w:t>
      </w:r>
      <w:r>
        <w:t>žu biežums.</w:t>
      </w:r>
      <w:bookmarkEnd w:id="88"/>
      <w:r>
        <w:t xml:space="preserve"> </w:t>
      </w:r>
    </w:p>
    <w:p w14:paraId="1AB9787A" w14:textId="4EE72784" w:rsidR="00B92A5B" w:rsidRPr="00A67CDD" w:rsidRDefault="00B92A5B" w:rsidP="008A3C56">
      <w:r w:rsidRPr="002319D2">
        <w:t xml:space="preserve">Projektu atlasei ir izveidota projektu atlases padome, kas tiek sasaukta pēc nepieciešamības, bet ne retāk kā reizi 6 mēnešos, ar mērķi apstiprināt jaunus projektus vai izmaiņas esošajos projektos, kā arī, lai izvērtētu apstiprināto projektu starpposma </w:t>
      </w:r>
      <w:r w:rsidR="00192AB6">
        <w:t xml:space="preserve">atskaites </w:t>
      </w:r>
      <w:r w:rsidRPr="002319D2">
        <w:t xml:space="preserve">un </w:t>
      </w:r>
      <w:r w:rsidR="00192AB6">
        <w:t xml:space="preserve">projektu </w:t>
      </w:r>
      <w:r w:rsidRPr="002319D2">
        <w:t>gala rezultātus</w:t>
      </w:r>
      <w:r w:rsidRPr="00A67CDD">
        <w:t>.</w:t>
      </w:r>
    </w:p>
    <w:p w14:paraId="753E6FB3" w14:textId="77777777" w:rsidR="00B92A5B" w:rsidRPr="009A5B07" w:rsidRDefault="00B92A5B" w:rsidP="002319D2"/>
    <w:p w14:paraId="16B90F47" w14:textId="2CC1AEAD" w:rsidR="00872E34" w:rsidRDefault="00872E34" w:rsidP="002319D2">
      <w:pPr>
        <w:pStyle w:val="Heading2"/>
      </w:pPr>
      <w:bookmarkStart w:id="89" w:name="_Toc450850161"/>
      <w:bookmarkStart w:id="90" w:name="_Toc450888013"/>
      <w:bookmarkStart w:id="91" w:name="_Toc450925123"/>
      <w:bookmarkStart w:id="92" w:name="_Toc119072239"/>
      <w:r w:rsidRPr="001B5B8C">
        <w:lastRenderedPageBreak/>
        <w:t>Projektu atlases principi</w:t>
      </w:r>
      <w:bookmarkEnd w:id="89"/>
      <w:bookmarkEnd w:id="90"/>
      <w:bookmarkEnd w:id="91"/>
      <w:bookmarkEnd w:id="92"/>
    </w:p>
    <w:p w14:paraId="16AB401B" w14:textId="77777777" w:rsidR="00AA1AF7" w:rsidRPr="008A3C56" w:rsidRDefault="00AA1AF7" w:rsidP="00AA1AF7">
      <w:pPr>
        <w:rPr>
          <w:rFonts w:cstheme="minorHAnsi"/>
        </w:rPr>
      </w:pPr>
      <w:bookmarkStart w:id="93" w:name="_Toc450850162"/>
      <w:bookmarkStart w:id="94" w:name="_Toc450888014"/>
      <w:bookmarkStart w:id="95" w:name="_Toc450925124"/>
      <w:r w:rsidRPr="008A3C56">
        <w:rPr>
          <w:rFonts w:cstheme="minorHAnsi"/>
        </w:rPr>
        <w:t xml:space="preserve">Pētniecības projektu (turpmāk – projektu) izvērtēšanai un atlasei ir izveidota projektu atlases padome (turpmāk – PAP), kas tiek sasaukta pēc nepieciešamības, bet ne retāk kā reizi 6 mēnešos ar mērķi apstiprināt jaunus projektus vai izmaiņas esošajos projektos. Projektu izvērtēšanas mērķis ir atlasīt labākos projektus, kuru mērķi un būtība atbilst kompetences centra stratēģijai un mērķiem, un kuri ar lielāko ticamību šādus mērķus varētu sasniegt. Pētniecības projekta apraksta forma pievienota pielikumā Nr.1. </w:t>
      </w:r>
    </w:p>
    <w:p w14:paraId="42C71996" w14:textId="77777777" w:rsidR="00AA1AF7" w:rsidRPr="008A3C56" w:rsidRDefault="00AA1AF7" w:rsidP="00AA1AF7">
      <w:pPr>
        <w:rPr>
          <w:rFonts w:cstheme="minorHAnsi"/>
        </w:rPr>
      </w:pPr>
      <w:r w:rsidRPr="008A3C56">
        <w:rPr>
          <w:rFonts w:cstheme="minorHAnsi"/>
          <w:b/>
          <w:u w:val="single"/>
        </w:rPr>
        <w:t>0. Posms</w:t>
      </w:r>
      <w:r w:rsidRPr="008A3C56">
        <w:rPr>
          <w:rFonts w:cstheme="minorHAnsi"/>
        </w:rPr>
        <w:t>. Projektu izvērtēšana sākuma posmos ir interaktīvs un neformāls process, kura mērķis ir izvairīties no projekta sliktāka vērtējuma formālu nepilnību dēļ.</w:t>
      </w:r>
    </w:p>
    <w:p w14:paraId="6B2D57CC" w14:textId="77777777" w:rsidR="00AA1AF7" w:rsidRPr="008A3C56" w:rsidRDefault="00AA1AF7" w:rsidP="00AA1AF7">
      <w:pPr>
        <w:rPr>
          <w:rFonts w:cstheme="minorHAnsi"/>
        </w:rPr>
      </w:pPr>
      <w:r w:rsidRPr="008A3C56">
        <w:rPr>
          <w:rFonts w:cstheme="minorHAnsi"/>
          <w:b/>
          <w:u w:val="single"/>
        </w:rPr>
        <w:t>1. Posms</w:t>
      </w:r>
      <w:r w:rsidRPr="008A3C56">
        <w:rPr>
          <w:rFonts w:cstheme="minorHAnsi"/>
        </w:rPr>
        <w:t xml:space="preserve">. Projekta formālās izvērtēšanas pirmajā posmā pievērsta pastiprināta uzmanība projekta iesniedzēja kapacitātei un finanšu potenciālam īstenot projektu, projekta risku iespējamībai attiecībā pret kompetences centru (turpmāk – KC) vai citiem KC partneriem. Ja šādi riski pastāv, attiecīgie projekti tālāk vērtēti netiek. Šāda pirmā posma ietvaros tiek sākotnēji izvērtēta projektu atbilstība valsts atbalsta nosacījumiem, lai mazinātu neatbilstošu uzdevumu iestāšanās risku. Nepieciešamības gadījumā pēc KC vadības, piesaistīto ekspertu un/vai atsevišķu atlases padomes pārstāvju, kas ir veikuši projekta izvērtēšanu, rekomendācijām un/vai piezīmēm, tiek veiktas izmaiņas projekta saturā un/vai finansēšanas plānā (tāmē). Pārskatītie projekti atbilstoši tiek virzīti uz 2. posma izskatīšanu, kas notiek projektu atlases padomes sēdes laikā. </w:t>
      </w:r>
    </w:p>
    <w:p w14:paraId="458E11D0" w14:textId="77777777" w:rsidR="00AA1AF7" w:rsidRPr="008A3C56" w:rsidRDefault="00AA1AF7" w:rsidP="00AA1AF7">
      <w:pPr>
        <w:rPr>
          <w:rFonts w:cstheme="minorHAnsi"/>
        </w:rPr>
      </w:pPr>
      <w:r w:rsidRPr="008A3C56">
        <w:rPr>
          <w:rFonts w:cstheme="minorHAnsi"/>
          <w:b/>
          <w:u w:val="single"/>
        </w:rPr>
        <w:t>2. Posms</w:t>
      </w:r>
      <w:r w:rsidRPr="008A3C56">
        <w:rPr>
          <w:rFonts w:cstheme="minorHAnsi"/>
        </w:rPr>
        <w:t xml:space="preserve">. Šajā posmā iesniegtie projekti tiek skatīti projektu atlases padomes sēdes laikā atbilstoši projektu atlases un apstiprināšanas kritērijiem. Projektā norādītie iznākuma rādītāji tiek vērtēti un salīdzināti tikai tiem projektiem, kuri rada pārliecību par projekta vispārējo kvalitāti, atbilstību programmai un komandas spēju šo projektu realizēt. Ar atlases padomes lēmumu apstiprinātie projekti tiek virzīti tālāk uz izskatīšanu Centrālai finanšu un līgumu aģentūrai (turpmāk – CFLA). </w:t>
      </w:r>
    </w:p>
    <w:p w14:paraId="764E3732" w14:textId="77777777" w:rsidR="00AA1AF7" w:rsidRPr="008A3C56" w:rsidRDefault="00AA1AF7" w:rsidP="00AA1AF7">
      <w:pPr>
        <w:rPr>
          <w:rFonts w:cstheme="minorHAnsi"/>
        </w:rPr>
      </w:pPr>
      <w:r w:rsidRPr="008A3C56">
        <w:rPr>
          <w:rFonts w:cstheme="minorHAnsi"/>
        </w:rPr>
        <w:t>Projekta pieteikuma administratīvos kritērijus izvērtē kompetences centrs, aizpildot “Kompetences centra projekta pārbaudes lapu” (Pielikums Nr.2).</w:t>
      </w:r>
    </w:p>
    <w:p w14:paraId="3AA7479D" w14:textId="70D3D7D6" w:rsidR="0049213C" w:rsidRPr="00E62F6B" w:rsidRDefault="00AA1AF7" w:rsidP="0049213C">
      <w:pPr>
        <w:rPr>
          <w:rFonts w:cstheme="minorHAnsi"/>
        </w:rPr>
      </w:pPr>
      <w:r w:rsidRPr="008A3C56">
        <w:rPr>
          <w:rFonts w:cstheme="minorHAnsi"/>
        </w:rPr>
        <w:t xml:space="preserve">Tiek īstenoti apstiprinātie pētniecības projekti, par kuriem saņemts </w:t>
      </w:r>
      <w:r w:rsidR="009B5859">
        <w:rPr>
          <w:rFonts w:cstheme="minorHAnsi"/>
        </w:rPr>
        <w:t>CFLA</w:t>
      </w:r>
      <w:r w:rsidRPr="008A3C56">
        <w:rPr>
          <w:rFonts w:cstheme="minorHAnsi"/>
        </w:rPr>
        <w:t xml:space="preserve"> lēmums par valsts atbalsta piešķiršanu.</w:t>
      </w:r>
      <w:bookmarkStart w:id="96" w:name="_Hlk529798114"/>
      <w:r w:rsidR="0049213C" w:rsidRPr="00E62F6B">
        <w:rPr>
          <w:rFonts w:cstheme="minorHAnsi"/>
        </w:rPr>
        <w:t xml:space="preserve"> </w:t>
      </w:r>
      <w:bookmarkEnd w:id="96"/>
    </w:p>
    <w:p w14:paraId="25F738D6" w14:textId="76D94C95" w:rsidR="00872E34" w:rsidRPr="00D0054F" w:rsidRDefault="00872E34" w:rsidP="006F31C1">
      <w:pPr>
        <w:pStyle w:val="Heading3"/>
        <w:numPr>
          <w:ilvl w:val="2"/>
          <w:numId w:val="40"/>
        </w:numPr>
      </w:pPr>
      <w:r>
        <w:lastRenderedPageBreak/>
        <w:t>Projektu apstiprināšanas p</w:t>
      </w:r>
      <w:r w:rsidRPr="00D0054F">
        <w:t>rocess</w:t>
      </w:r>
      <w:bookmarkEnd w:id="93"/>
      <w:bookmarkEnd w:id="94"/>
      <w:bookmarkEnd w:id="95"/>
    </w:p>
    <w:p w14:paraId="184C4023" w14:textId="7E6A11E2" w:rsidR="00872E34" w:rsidRDefault="003F7276" w:rsidP="00872E34">
      <w:r w:rsidRPr="007B4A2E">
        <w:rPr>
          <w:noProof/>
          <w:lang w:eastAsia="lv-LV"/>
        </w:rPr>
        <w:drawing>
          <wp:inline distT="0" distB="0" distL="0" distR="0" wp14:anchorId="5A76D0F0" wp14:editId="1B3A642D">
            <wp:extent cx="5270500" cy="7766050"/>
            <wp:effectExtent l="38100" t="0" r="6350" b="63500"/>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4" r:lo="rId55" r:qs="rId56" r:cs="rId57"/>
              </a:graphicData>
            </a:graphic>
          </wp:inline>
        </w:drawing>
      </w:r>
    </w:p>
    <w:p w14:paraId="6ED985BA" w14:textId="77777777" w:rsidR="00D363F3" w:rsidRPr="00D0054F" w:rsidRDefault="00D363F3" w:rsidP="00872E34"/>
    <w:p w14:paraId="404542C0" w14:textId="3D1045E3" w:rsidR="00872E34" w:rsidRDefault="00872E34" w:rsidP="006F31C1">
      <w:pPr>
        <w:pStyle w:val="Heading3"/>
        <w:numPr>
          <w:ilvl w:val="2"/>
          <w:numId w:val="40"/>
        </w:numPr>
      </w:pPr>
      <w:bookmarkStart w:id="97" w:name="_Toc450850163"/>
      <w:bookmarkStart w:id="98" w:name="_Toc450888015"/>
      <w:bookmarkStart w:id="99" w:name="_Toc450925125"/>
      <w:r>
        <w:lastRenderedPageBreak/>
        <w:t>Projektu atlases kritēriji</w:t>
      </w:r>
      <w:bookmarkEnd w:id="97"/>
      <w:bookmarkEnd w:id="98"/>
      <w:bookmarkEnd w:id="99"/>
    </w:p>
    <w:tbl>
      <w:tblPr>
        <w:tblStyle w:val="GridTable1Light-Accent51"/>
        <w:tblW w:w="8642" w:type="dxa"/>
        <w:tblLook w:val="04A0" w:firstRow="1" w:lastRow="0" w:firstColumn="1" w:lastColumn="0" w:noHBand="0" w:noVBand="1"/>
      </w:tblPr>
      <w:tblGrid>
        <w:gridCol w:w="4152"/>
        <w:gridCol w:w="1443"/>
        <w:gridCol w:w="3047"/>
      </w:tblGrid>
      <w:tr w:rsidR="00872E34" w:rsidRPr="000E3E46" w14:paraId="2A01BB5F" w14:textId="77777777" w:rsidTr="002C275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95" w:type="dxa"/>
            <w:gridSpan w:val="2"/>
          </w:tcPr>
          <w:p w14:paraId="3C1E96E4" w14:textId="77777777" w:rsidR="00872E34" w:rsidRPr="00FE4DAF" w:rsidRDefault="00872E34" w:rsidP="002C275F">
            <w:pPr>
              <w:spacing w:before="0"/>
              <w:rPr>
                <w:rFonts w:cs="Times New Roman"/>
                <w:b w:val="0"/>
              </w:rPr>
            </w:pPr>
            <w:r w:rsidRPr="00FE4DAF">
              <w:rPr>
                <w:b w:val="0"/>
                <w:lang w:eastAsia="lv-LV"/>
              </w:rPr>
              <w:t>Pētniecības projekta atbilstība kompetences centra izstrādātajiem pētniecības projektu atlases kritērijiem</w:t>
            </w:r>
          </w:p>
        </w:tc>
        <w:tc>
          <w:tcPr>
            <w:tcW w:w="3047" w:type="dxa"/>
          </w:tcPr>
          <w:p w14:paraId="7C8F8C2E" w14:textId="77777777" w:rsidR="00872E34" w:rsidRPr="00FE4DAF" w:rsidRDefault="00872E34" w:rsidP="002C275F">
            <w:pPr>
              <w:spacing w:before="0"/>
              <w:jc w:val="center"/>
              <w:cnfStyle w:val="100000000000" w:firstRow="1" w:lastRow="0" w:firstColumn="0" w:lastColumn="0" w:oddVBand="0" w:evenVBand="0" w:oddHBand="0" w:evenHBand="0" w:firstRowFirstColumn="0" w:firstRowLastColumn="0" w:lastRowFirstColumn="0" w:lastRowLastColumn="0"/>
              <w:rPr>
                <w:rFonts w:cs="Times New Roman"/>
                <w:b w:val="0"/>
              </w:rPr>
            </w:pPr>
            <w:r w:rsidRPr="00FE4DAF">
              <w:rPr>
                <w:rFonts w:cs="Times New Roman"/>
                <w:b w:val="0"/>
              </w:rPr>
              <w:t>Vērtējums</w:t>
            </w:r>
          </w:p>
        </w:tc>
      </w:tr>
      <w:tr w:rsidR="006A0C18" w:rsidRPr="000E3E46" w14:paraId="2CC4E615" w14:textId="77777777" w:rsidTr="002C275F">
        <w:tc>
          <w:tcPr>
            <w:cnfStyle w:val="001000000000" w:firstRow="0" w:lastRow="0" w:firstColumn="1" w:lastColumn="0" w:oddVBand="0" w:evenVBand="0" w:oddHBand="0" w:evenHBand="0" w:firstRowFirstColumn="0" w:firstRowLastColumn="0" w:lastRowFirstColumn="0" w:lastRowLastColumn="0"/>
            <w:tcW w:w="4152" w:type="dxa"/>
          </w:tcPr>
          <w:p w14:paraId="1F7DEC54" w14:textId="5AA992FF" w:rsidR="006A0C18" w:rsidRPr="00FE4DAF" w:rsidRDefault="006A0C18" w:rsidP="006A0C18">
            <w:pPr>
              <w:pStyle w:val="ListParagraph"/>
              <w:keepLines w:val="0"/>
              <w:numPr>
                <w:ilvl w:val="0"/>
                <w:numId w:val="13"/>
              </w:numPr>
              <w:shd w:val="clear" w:color="auto" w:fill="auto"/>
              <w:spacing w:before="0" w:after="0"/>
              <w:jc w:val="left"/>
              <w:rPr>
                <w:b w:val="0"/>
                <w:lang w:eastAsia="lv-LV"/>
              </w:rPr>
            </w:pPr>
            <w:r w:rsidRPr="006536C6">
              <w:rPr>
                <w:b w:val="0"/>
                <w:lang w:eastAsia="lv-LV"/>
              </w:rPr>
              <w:t>Vai pētniecības projektam ir starptautisks raksturs</w:t>
            </w:r>
          </w:p>
        </w:tc>
        <w:tc>
          <w:tcPr>
            <w:tcW w:w="1443" w:type="dxa"/>
          </w:tcPr>
          <w:p w14:paraId="3CE00A90" w14:textId="77777777" w:rsidR="006A0C18" w:rsidRPr="001B5B8C" w:rsidRDefault="006A0C18" w:rsidP="006A0C18">
            <w:pPr>
              <w:spacing w:before="0"/>
              <w:jc w:val="center"/>
              <w:cnfStyle w:val="000000000000" w:firstRow="0" w:lastRow="0" w:firstColumn="0" w:lastColumn="0" w:oddVBand="0" w:evenVBand="0" w:oddHBand="0" w:evenHBand="0" w:firstRowFirstColumn="0" w:firstRowLastColumn="0" w:lastRowFirstColumn="0" w:lastRowLastColumn="0"/>
              <w:rPr>
                <w:b/>
                <w:szCs w:val="24"/>
                <w:lang w:eastAsia="lv-LV"/>
              </w:rPr>
            </w:pPr>
          </w:p>
        </w:tc>
        <w:tc>
          <w:tcPr>
            <w:tcW w:w="3047" w:type="dxa"/>
          </w:tcPr>
          <w:p w14:paraId="1A1C1FB3" w14:textId="77777777" w:rsidR="006A0C18" w:rsidRPr="008A3C56" w:rsidRDefault="006A0C18" w:rsidP="006A0C18">
            <w:pPr>
              <w:jc w:val="center"/>
              <w:cnfStyle w:val="000000000000" w:firstRow="0" w:lastRow="0" w:firstColumn="0" w:lastColumn="0" w:oddVBand="0" w:evenVBand="0" w:oddHBand="0" w:evenHBand="0" w:firstRowFirstColumn="0" w:firstRowLastColumn="0" w:lastRowFirstColumn="0" w:lastRowLastColumn="0"/>
              <w:rPr>
                <w:rFonts w:cstheme="minorHAnsi"/>
                <w:lang w:eastAsia="lv-LV"/>
              </w:rPr>
            </w:pPr>
            <w:r w:rsidRPr="008A3C56">
              <w:rPr>
                <w:rFonts w:cstheme="minorHAnsi"/>
                <w:lang w:eastAsia="lv-LV"/>
              </w:rPr>
              <w:t>Jā – 1; Nē - 0</w:t>
            </w:r>
          </w:p>
          <w:p w14:paraId="3B6F02A2" w14:textId="45AB8528" w:rsidR="006A0C18" w:rsidRPr="00E62F6B" w:rsidRDefault="006A0C18" w:rsidP="006A0C18">
            <w:pPr>
              <w:spacing w:before="0"/>
              <w:jc w:val="center"/>
              <w:cnfStyle w:val="000000000000" w:firstRow="0" w:lastRow="0" w:firstColumn="0" w:lastColumn="0" w:oddVBand="0" w:evenVBand="0" w:oddHBand="0" w:evenHBand="0" w:firstRowFirstColumn="0" w:firstRowLastColumn="0" w:lastRowFirstColumn="0" w:lastRowLastColumn="0"/>
              <w:rPr>
                <w:rFonts w:cstheme="minorHAnsi"/>
                <w:szCs w:val="24"/>
                <w:lang w:eastAsia="lv-LV"/>
              </w:rPr>
            </w:pPr>
            <w:r w:rsidRPr="008A3C56">
              <w:rPr>
                <w:rFonts w:cstheme="minorHAnsi"/>
                <w:lang w:eastAsia="lv-LV"/>
              </w:rPr>
              <w:t>Kritērijs nav izslēdzošs</w:t>
            </w:r>
          </w:p>
        </w:tc>
      </w:tr>
      <w:tr w:rsidR="006A0C18" w:rsidRPr="000E3E46" w14:paraId="723A20A6" w14:textId="77777777" w:rsidTr="002C275F">
        <w:tc>
          <w:tcPr>
            <w:cnfStyle w:val="001000000000" w:firstRow="0" w:lastRow="0" w:firstColumn="1" w:lastColumn="0" w:oddVBand="0" w:evenVBand="0" w:oddHBand="0" w:evenHBand="0" w:firstRowFirstColumn="0" w:firstRowLastColumn="0" w:lastRowFirstColumn="0" w:lastRowLastColumn="0"/>
            <w:tcW w:w="4152" w:type="dxa"/>
          </w:tcPr>
          <w:p w14:paraId="18BB7651" w14:textId="4EA61EC0" w:rsidR="006A0C18" w:rsidRPr="00FE4DAF" w:rsidRDefault="006A0C18" w:rsidP="006A0C18">
            <w:pPr>
              <w:pStyle w:val="ListParagraph"/>
              <w:keepLines w:val="0"/>
              <w:numPr>
                <w:ilvl w:val="0"/>
                <w:numId w:val="13"/>
              </w:numPr>
              <w:shd w:val="clear" w:color="auto" w:fill="auto"/>
              <w:spacing w:before="0" w:after="0"/>
              <w:jc w:val="left"/>
              <w:rPr>
                <w:b w:val="0"/>
                <w:lang w:eastAsia="lv-LV"/>
              </w:rPr>
            </w:pPr>
            <w:r w:rsidRPr="006536C6">
              <w:rPr>
                <w:b w:val="0"/>
                <w:lang w:eastAsia="lv-LV"/>
              </w:rPr>
              <w:t>Horizontālā principa “Ilgtspējīga attīstība” nodrošināšana, papildus punktus piešķirot pētniecības projektiem par eko-inovatīvu tehnoloģiju attīstību un ieviešanu</w:t>
            </w:r>
          </w:p>
        </w:tc>
        <w:tc>
          <w:tcPr>
            <w:tcW w:w="1443" w:type="dxa"/>
          </w:tcPr>
          <w:p w14:paraId="6AB6CE3A" w14:textId="77777777" w:rsidR="006A0C18" w:rsidRPr="001B5B8C" w:rsidRDefault="006A0C18" w:rsidP="006A0C18">
            <w:pPr>
              <w:spacing w:before="0"/>
              <w:jc w:val="center"/>
              <w:cnfStyle w:val="000000000000" w:firstRow="0" w:lastRow="0" w:firstColumn="0" w:lastColumn="0" w:oddVBand="0" w:evenVBand="0" w:oddHBand="0" w:evenHBand="0" w:firstRowFirstColumn="0" w:firstRowLastColumn="0" w:lastRowFirstColumn="0" w:lastRowLastColumn="0"/>
              <w:rPr>
                <w:b/>
                <w:szCs w:val="24"/>
                <w:lang w:eastAsia="lv-LV"/>
              </w:rPr>
            </w:pPr>
          </w:p>
        </w:tc>
        <w:tc>
          <w:tcPr>
            <w:tcW w:w="3047" w:type="dxa"/>
          </w:tcPr>
          <w:p w14:paraId="02555D12" w14:textId="77777777" w:rsidR="006A0C18" w:rsidRPr="008A3C56" w:rsidRDefault="006A0C18" w:rsidP="006A0C18">
            <w:pPr>
              <w:jc w:val="center"/>
              <w:cnfStyle w:val="000000000000" w:firstRow="0" w:lastRow="0" w:firstColumn="0" w:lastColumn="0" w:oddVBand="0" w:evenVBand="0" w:oddHBand="0" w:evenHBand="0" w:firstRowFirstColumn="0" w:firstRowLastColumn="0" w:lastRowFirstColumn="0" w:lastRowLastColumn="0"/>
              <w:rPr>
                <w:rFonts w:cstheme="minorHAnsi"/>
                <w:lang w:eastAsia="lv-LV"/>
              </w:rPr>
            </w:pPr>
            <w:r w:rsidRPr="008A3C56">
              <w:rPr>
                <w:rFonts w:cstheme="minorHAnsi"/>
                <w:lang w:eastAsia="lv-LV"/>
              </w:rPr>
              <w:t>Jā – 1; Nē - 0</w:t>
            </w:r>
          </w:p>
          <w:p w14:paraId="1727F04B" w14:textId="59C0BACC" w:rsidR="006A0C18" w:rsidRPr="00E62F6B" w:rsidRDefault="006A0C18" w:rsidP="006A0C18">
            <w:pPr>
              <w:spacing w:before="0"/>
              <w:jc w:val="center"/>
              <w:cnfStyle w:val="000000000000" w:firstRow="0" w:lastRow="0" w:firstColumn="0" w:lastColumn="0" w:oddVBand="0" w:evenVBand="0" w:oddHBand="0" w:evenHBand="0" w:firstRowFirstColumn="0" w:firstRowLastColumn="0" w:lastRowFirstColumn="0" w:lastRowLastColumn="0"/>
              <w:rPr>
                <w:rFonts w:cstheme="minorHAnsi"/>
                <w:szCs w:val="24"/>
                <w:lang w:eastAsia="lv-LV"/>
              </w:rPr>
            </w:pPr>
            <w:r w:rsidRPr="008A3C56">
              <w:rPr>
                <w:rFonts w:cstheme="minorHAnsi"/>
                <w:lang w:eastAsia="lv-LV"/>
              </w:rPr>
              <w:t>Kritērijs nav izslēdzošs</w:t>
            </w:r>
          </w:p>
        </w:tc>
      </w:tr>
      <w:tr w:rsidR="006A0C18" w:rsidRPr="000E3E46" w14:paraId="2E6E1FA7" w14:textId="77777777" w:rsidTr="002C275F">
        <w:tc>
          <w:tcPr>
            <w:cnfStyle w:val="001000000000" w:firstRow="0" w:lastRow="0" w:firstColumn="1" w:lastColumn="0" w:oddVBand="0" w:evenVBand="0" w:oddHBand="0" w:evenHBand="0" w:firstRowFirstColumn="0" w:firstRowLastColumn="0" w:lastRowFirstColumn="0" w:lastRowLastColumn="0"/>
            <w:tcW w:w="4152" w:type="dxa"/>
          </w:tcPr>
          <w:p w14:paraId="3B036203" w14:textId="51CB06F0" w:rsidR="006A0C18" w:rsidRPr="00FE4DAF" w:rsidRDefault="006A0C18" w:rsidP="006A0C18">
            <w:pPr>
              <w:pStyle w:val="ListParagraph"/>
              <w:keepLines w:val="0"/>
              <w:numPr>
                <w:ilvl w:val="0"/>
                <w:numId w:val="13"/>
              </w:numPr>
              <w:shd w:val="clear" w:color="auto" w:fill="auto"/>
              <w:spacing w:before="0" w:after="0"/>
              <w:jc w:val="left"/>
              <w:rPr>
                <w:b w:val="0"/>
                <w:lang w:eastAsia="lv-LV"/>
              </w:rPr>
            </w:pPr>
            <w:r w:rsidRPr="006536C6">
              <w:rPr>
                <w:b w:val="0"/>
                <w:lang w:eastAsia="lv-LV"/>
              </w:rPr>
              <w:t>Vai pētniecības projekts atbilst viedās specializācijas jomām vai uzņēmējdarbības atklājuma procesā noteiktajai specializācijas jomai vai apakšjomai</w:t>
            </w:r>
          </w:p>
        </w:tc>
        <w:tc>
          <w:tcPr>
            <w:tcW w:w="1443" w:type="dxa"/>
          </w:tcPr>
          <w:p w14:paraId="0BD3E18A" w14:textId="77777777" w:rsidR="006A0C18" w:rsidRPr="001B5B8C" w:rsidRDefault="006A0C18" w:rsidP="006A0C18">
            <w:pPr>
              <w:spacing w:before="0"/>
              <w:jc w:val="center"/>
              <w:cnfStyle w:val="000000000000" w:firstRow="0" w:lastRow="0" w:firstColumn="0" w:lastColumn="0" w:oddVBand="0" w:evenVBand="0" w:oddHBand="0" w:evenHBand="0" w:firstRowFirstColumn="0" w:firstRowLastColumn="0" w:lastRowFirstColumn="0" w:lastRowLastColumn="0"/>
              <w:rPr>
                <w:b/>
                <w:szCs w:val="24"/>
                <w:lang w:eastAsia="lv-LV"/>
              </w:rPr>
            </w:pPr>
          </w:p>
        </w:tc>
        <w:tc>
          <w:tcPr>
            <w:tcW w:w="3047" w:type="dxa"/>
          </w:tcPr>
          <w:p w14:paraId="5CF6DB20" w14:textId="77777777" w:rsidR="006A0C18" w:rsidRPr="008A3C56" w:rsidRDefault="006A0C18" w:rsidP="006A0C18">
            <w:pPr>
              <w:jc w:val="center"/>
              <w:cnfStyle w:val="000000000000" w:firstRow="0" w:lastRow="0" w:firstColumn="0" w:lastColumn="0" w:oddVBand="0" w:evenVBand="0" w:oddHBand="0" w:evenHBand="0" w:firstRowFirstColumn="0" w:firstRowLastColumn="0" w:lastRowFirstColumn="0" w:lastRowLastColumn="0"/>
              <w:rPr>
                <w:rFonts w:cstheme="minorHAnsi"/>
                <w:lang w:eastAsia="lv-LV"/>
              </w:rPr>
            </w:pPr>
            <w:r w:rsidRPr="008A3C56">
              <w:rPr>
                <w:rFonts w:cstheme="minorHAnsi"/>
                <w:lang w:eastAsia="lv-LV"/>
              </w:rPr>
              <w:t>Jā – 1; Nē - 0</w:t>
            </w:r>
          </w:p>
          <w:p w14:paraId="7E76CB9C" w14:textId="5F40A7B6" w:rsidR="006A0C18" w:rsidRPr="00E62F6B" w:rsidRDefault="006A0C18" w:rsidP="006A0C18">
            <w:pPr>
              <w:spacing w:before="0"/>
              <w:jc w:val="center"/>
              <w:cnfStyle w:val="000000000000" w:firstRow="0" w:lastRow="0" w:firstColumn="0" w:lastColumn="0" w:oddVBand="0" w:evenVBand="0" w:oddHBand="0" w:evenHBand="0" w:firstRowFirstColumn="0" w:firstRowLastColumn="0" w:lastRowFirstColumn="0" w:lastRowLastColumn="0"/>
              <w:rPr>
                <w:rFonts w:cstheme="minorHAnsi"/>
                <w:szCs w:val="24"/>
                <w:lang w:eastAsia="lv-LV"/>
              </w:rPr>
            </w:pPr>
            <w:r w:rsidRPr="008A3C56">
              <w:rPr>
                <w:rFonts w:cstheme="minorHAnsi"/>
                <w:lang w:eastAsia="lv-LV"/>
              </w:rPr>
              <w:t>Kritērijs ir izslēdzošs, projektu tālāk nevērtē</w:t>
            </w:r>
          </w:p>
        </w:tc>
      </w:tr>
      <w:tr w:rsidR="006A0C18" w:rsidRPr="000E3E46" w14:paraId="69C80E88" w14:textId="77777777" w:rsidTr="002C275F">
        <w:tc>
          <w:tcPr>
            <w:cnfStyle w:val="001000000000" w:firstRow="0" w:lastRow="0" w:firstColumn="1" w:lastColumn="0" w:oddVBand="0" w:evenVBand="0" w:oddHBand="0" w:evenHBand="0" w:firstRowFirstColumn="0" w:firstRowLastColumn="0" w:lastRowFirstColumn="0" w:lastRowLastColumn="0"/>
            <w:tcW w:w="4152" w:type="dxa"/>
          </w:tcPr>
          <w:p w14:paraId="51C1066F" w14:textId="69D23588" w:rsidR="006A0C18" w:rsidRPr="00541671" w:rsidRDefault="006A0C18" w:rsidP="006A0C18">
            <w:pPr>
              <w:pStyle w:val="ListParagraph"/>
              <w:keepLines w:val="0"/>
              <w:numPr>
                <w:ilvl w:val="0"/>
                <w:numId w:val="13"/>
              </w:numPr>
              <w:shd w:val="clear" w:color="auto" w:fill="auto"/>
              <w:spacing w:before="0" w:after="0"/>
              <w:jc w:val="left"/>
              <w:rPr>
                <w:b w:val="0"/>
                <w:lang w:eastAsia="lv-LV"/>
              </w:rPr>
            </w:pPr>
            <w:r w:rsidRPr="006536C6">
              <w:rPr>
                <w:b w:val="0"/>
                <w:lang w:eastAsia="lv-LV"/>
              </w:rPr>
              <w:t>Vai pētniecības projekts atbilst 4.-8. tehnoloģiskās gatavības līmenim*</w:t>
            </w:r>
          </w:p>
        </w:tc>
        <w:tc>
          <w:tcPr>
            <w:tcW w:w="1443" w:type="dxa"/>
          </w:tcPr>
          <w:p w14:paraId="7520B613" w14:textId="77777777" w:rsidR="006A0C18" w:rsidRPr="002319D2" w:rsidRDefault="006A0C18" w:rsidP="006A0C18">
            <w:pPr>
              <w:spacing w:before="0"/>
              <w:jc w:val="center"/>
              <w:cnfStyle w:val="000000000000" w:firstRow="0" w:lastRow="0" w:firstColumn="0" w:lastColumn="0" w:oddVBand="0" w:evenVBand="0" w:oddHBand="0" w:evenHBand="0" w:firstRowFirstColumn="0" w:firstRowLastColumn="0" w:lastRowFirstColumn="0" w:lastRowLastColumn="0"/>
              <w:rPr>
                <w:bCs/>
                <w:szCs w:val="24"/>
                <w:lang w:eastAsia="lv-LV"/>
              </w:rPr>
            </w:pPr>
          </w:p>
        </w:tc>
        <w:tc>
          <w:tcPr>
            <w:tcW w:w="3047" w:type="dxa"/>
          </w:tcPr>
          <w:p w14:paraId="4F7D6520" w14:textId="77777777" w:rsidR="006A0C18" w:rsidRPr="008A3C56" w:rsidRDefault="006A0C18" w:rsidP="006A0C18">
            <w:pPr>
              <w:jc w:val="center"/>
              <w:cnfStyle w:val="000000000000" w:firstRow="0" w:lastRow="0" w:firstColumn="0" w:lastColumn="0" w:oddVBand="0" w:evenVBand="0" w:oddHBand="0" w:evenHBand="0" w:firstRowFirstColumn="0" w:firstRowLastColumn="0" w:lastRowFirstColumn="0" w:lastRowLastColumn="0"/>
              <w:rPr>
                <w:rFonts w:cstheme="minorHAnsi"/>
                <w:lang w:eastAsia="lv-LV"/>
              </w:rPr>
            </w:pPr>
            <w:r w:rsidRPr="008A3C56">
              <w:rPr>
                <w:rFonts w:cstheme="minorHAnsi"/>
                <w:lang w:eastAsia="lv-LV"/>
              </w:rPr>
              <w:t>Jā – 1; Nē - 0</w:t>
            </w:r>
          </w:p>
          <w:p w14:paraId="2F2CEE8B" w14:textId="7CD58D47" w:rsidR="006A0C18" w:rsidRPr="00E62F6B" w:rsidRDefault="006A0C18" w:rsidP="006A0C18">
            <w:pPr>
              <w:spacing w:before="0"/>
              <w:jc w:val="center"/>
              <w:cnfStyle w:val="000000000000" w:firstRow="0" w:lastRow="0" w:firstColumn="0" w:lastColumn="0" w:oddVBand="0" w:evenVBand="0" w:oddHBand="0" w:evenHBand="0" w:firstRowFirstColumn="0" w:firstRowLastColumn="0" w:lastRowFirstColumn="0" w:lastRowLastColumn="0"/>
              <w:rPr>
                <w:rFonts w:cstheme="minorHAnsi"/>
                <w:szCs w:val="24"/>
                <w:lang w:eastAsia="lv-LV"/>
              </w:rPr>
            </w:pPr>
            <w:r w:rsidRPr="008A3C56">
              <w:rPr>
                <w:rFonts w:cstheme="minorHAnsi"/>
                <w:lang w:eastAsia="lv-LV"/>
              </w:rPr>
              <w:t>Kritērijs ir izslēdzošs, var lemt samazināt projektu par neatbilstošo daļu</w:t>
            </w:r>
          </w:p>
        </w:tc>
      </w:tr>
      <w:tr w:rsidR="006A0C18" w:rsidRPr="000E3E46" w14:paraId="708EA80F" w14:textId="77777777" w:rsidTr="002C275F">
        <w:tc>
          <w:tcPr>
            <w:cnfStyle w:val="001000000000" w:firstRow="0" w:lastRow="0" w:firstColumn="1" w:lastColumn="0" w:oddVBand="0" w:evenVBand="0" w:oddHBand="0" w:evenHBand="0" w:firstRowFirstColumn="0" w:firstRowLastColumn="0" w:lastRowFirstColumn="0" w:lastRowLastColumn="0"/>
            <w:tcW w:w="4152" w:type="dxa"/>
          </w:tcPr>
          <w:p w14:paraId="46FA819E" w14:textId="2799E4F1" w:rsidR="006A0C18" w:rsidRPr="002319D2" w:rsidRDefault="006A0C18" w:rsidP="006A0C18">
            <w:pPr>
              <w:pStyle w:val="ListParagraph"/>
              <w:keepLines w:val="0"/>
              <w:numPr>
                <w:ilvl w:val="0"/>
                <w:numId w:val="13"/>
              </w:numPr>
              <w:shd w:val="clear" w:color="auto" w:fill="auto"/>
              <w:spacing w:before="0" w:after="0"/>
              <w:jc w:val="left"/>
              <w:rPr>
                <w:b w:val="0"/>
                <w:bCs w:val="0"/>
                <w:lang w:eastAsia="lv-LV"/>
              </w:rPr>
            </w:pPr>
            <w:r w:rsidRPr="006536C6">
              <w:rPr>
                <w:b w:val="0"/>
                <w:lang w:eastAsia="lv-LV"/>
              </w:rPr>
              <w:t>Pētījuma kvalitātes vērtējums:</w:t>
            </w:r>
          </w:p>
        </w:tc>
        <w:tc>
          <w:tcPr>
            <w:tcW w:w="1443" w:type="dxa"/>
          </w:tcPr>
          <w:p w14:paraId="134B5914" w14:textId="77777777" w:rsidR="006A0C18" w:rsidRPr="002319D2" w:rsidRDefault="006A0C18" w:rsidP="006A0C18">
            <w:pPr>
              <w:spacing w:before="0"/>
              <w:jc w:val="center"/>
              <w:cnfStyle w:val="000000000000" w:firstRow="0" w:lastRow="0" w:firstColumn="0" w:lastColumn="0" w:oddVBand="0" w:evenVBand="0" w:oddHBand="0" w:evenHBand="0" w:firstRowFirstColumn="0" w:firstRowLastColumn="0" w:lastRowFirstColumn="0" w:lastRowLastColumn="0"/>
              <w:rPr>
                <w:bCs/>
                <w:szCs w:val="24"/>
                <w:lang w:eastAsia="lv-LV"/>
              </w:rPr>
            </w:pPr>
          </w:p>
        </w:tc>
        <w:tc>
          <w:tcPr>
            <w:tcW w:w="3047" w:type="dxa"/>
          </w:tcPr>
          <w:p w14:paraId="65274823" w14:textId="77777777" w:rsidR="006A0C18" w:rsidRPr="008A3C56" w:rsidRDefault="006A0C18" w:rsidP="006A0C18">
            <w:pPr>
              <w:jc w:val="center"/>
              <w:cnfStyle w:val="000000000000" w:firstRow="0" w:lastRow="0" w:firstColumn="0" w:lastColumn="0" w:oddVBand="0" w:evenVBand="0" w:oddHBand="0" w:evenHBand="0" w:firstRowFirstColumn="0" w:firstRowLastColumn="0" w:lastRowFirstColumn="0" w:lastRowLastColumn="0"/>
              <w:rPr>
                <w:rFonts w:cstheme="minorHAnsi"/>
                <w:lang w:eastAsia="lv-LV"/>
              </w:rPr>
            </w:pPr>
            <w:r w:rsidRPr="008A3C56">
              <w:rPr>
                <w:rFonts w:cstheme="minorHAnsi"/>
                <w:lang w:eastAsia="lv-LV"/>
              </w:rPr>
              <w:t xml:space="preserve">Vērtē 1-5 punktu skalā. </w:t>
            </w:r>
          </w:p>
          <w:p w14:paraId="4CA4FD1A" w14:textId="7A635C87" w:rsidR="006A0C18" w:rsidRPr="00E62F6B" w:rsidRDefault="006A0C18" w:rsidP="006A0C18">
            <w:pPr>
              <w:spacing w:before="0"/>
              <w:jc w:val="center"/>
              <w:cnfStyle w:val="000000000000" w:firstRow="0" w:lastRow="0" w:firstColumn="0" w:lastColumn="0" w:oddVBand="0" w:evenVBand="0" w:oddHBand="0" w:evenHBand="0" w:firstRowFirstColumn="0" w:firstRowLastColumn="0" w:lastRowFirstColumn="0" w:lastRowLastColumn="0"/>
              <w:rPr>
                <w:rFonts w:cstheme="minorHAnsi"/>
                <w:szCs w:val="24"/>
                <w:lang w:eastAsia="lv-LV"/>
              </w:rPr>
            </w:pPr>
            <w:r w:rsidRPr="008A3C56">
              <w:rPr>
                <w:rFonts w:cstheme="minorHAnsi"/>
                <w:lang w:eastAsia="lv-LV"/>
              </w:rPr>
              <w:t>Kritērijā jāsaņem vismaz 2 punkti</w:t>
            </w:r>
          </w:p>
        </w:tc>
      </w:tr>
      <w:tr w:rsidR="006A0C18" w:rsidRPr="000E3E46" w14:paraId="756CF920" w14:textId="77777777" w:rsidTr="002C275F">
        <w:tc>
          <w:tcPr>
            <w:cnfStyle w:val="001000000000" w:firstRow="0" w:lastRow="0" w:firstColumn="1" w:lastColumn="0" w:oddVBand="0" w:evenVBand="0" w:oddHBand="0" w:evenHBand="0" w:firstRowFirstColumn="0" w:firstRowLastColumn="0" w:lastRowFirstColumn="0" w:lastRowLastColumn="0"/>
            <w:tcW w:w="4152" w:type="dxa"/>
          </w:tcPr>
          <w:p w14:paraId="3AE2658D" w14:textId="50E1A06D" w:rsidR="006A0C18" w:rsidRPr="00B92A39" w:rsidRDefault="006A0C18" w:rsidP="006A0C18">
            <w:pPr>
              <w:pStyle w:val="ListParagraph"/>
              <w:keepLines w:val="0"/>
              <w:numPr>
                <w:ilvl w:val="0"/>
                <w:numId w:val="13"/>
              </w:numPr>
              <w:shd w:val="clear" w:color="auto" w:fill="auto"/>
              <w:spacing w:before="0" w:after="0"/>
              <w:jc w:val="left"/>
              <w:rPr>
                <w:b w:val="0"/>
                <w:bCs w:val="0"/>
                <w:lang w:eastAsia="lv-LV"/>
              </w:rPr>
            </w:pPr>
            <w:r w:rsidRPr="006536C6">
              <w:rPr>
                <w:b w:val="0"/>
                <w:lang w:eastAsia="lv-LV"/>
              </w:rPr>
              <w:t>Pētījuma ietekmes vērtējums:</w:t>
            </w:r>
          </w:p>
        </w:tc>
        <w:tc>
          <w:tcPr>
            <w:tcW w:w="1443" w:type="dxa"/>
          </w:tcPr>
          <w:p w14:paraId="1A5EAC84" w14:textId="77777777" w:rsidR="006A0C18" w:rsidRPr="001B5B8C" w:rsidRDefault="006A0C18" w:rsidP="006A0C18">
            <w:pPr>
              <w:spacing w:before="0"/>
              <w:jc w:val="center"/>
              <w:cnfStyle w:val="000000000000" w:firstRow="0" w:lastRow="0" w:firstColumn="0" w:lastColumn="0" w:oddVBand="0" w:evenVBand="0" w:oddHBand="0" w:evenHBand="0" w:firstRowFirstColumn="0" w:firstRowLastColumn="0" w:lastRowFirstColumn="0" w:lastRowLastColumn="0"/>
              <w:rPr>
                <w:b/>
                <w:szCs w:val="24"/>
                <w:lang w:eastAsia="lv-LV"/>
              </w:rPr>
            </w:pPr>
          </w:p>
        </w:tc>
        <w:tc>
          <w:tcPr>
            <w:tcW w:w="3047" w:type="dxa"/>
          </w:tcPr>
          <w:p w14:paraId="09257C57" w14:textId="77777777" w:rsidR="006A0C18" w:rsidRPr="008A3C56" w:rsidRDefault="006A0C18" w:rsidP="006A0C18">
            <w:pPr>
              <w:jc w:val="center"/>
              <w:cnfStyle w:val="000000000000" w:firstRow="0" w:lastRow="0" w:firstColumn="0" w:lastColumn="0" w:oddVBand="0" w:evenVBand="0" w:oddHBand="0" w:evenHBand="0" w:firstRowFirstColumn="0" w:firstRowLastColumn="0" w:lastRowFirstColumn="0" w:lastRowLastColumn="0"/>
              <w:rPr>
                <w:rFonts w:cstheme="minorHAnsi"/>
                <w:lang w:eastAsia="lv-LV"/>
              </w:rPr>
            </w:pPr>
            <w:r w:rsidRPr="008A3C56">
              <w:rPr>
                <w:rFonts w:cstheme="minorHAnsi"/>
                <w:lang w:eastAsia="lv-LV"/>
              </w:rPr>
              <w:t xml:space="preserve">Vērtē 1-5 punktu skalā. </w:t>
            </w:r>
          </w:p>
          <w:p w14:paraId="34C7F0C8" w14:textId="47B2DFBF" w:rsidR="006A0C18" w:rsidRPr="00E62F6B" w:rsidRDefault="006A0C18" w:rsidP="006A0C18">
            <w:pPr>
              <w:spacing w:before="0"/>
              <w:jc w:val="center"/>
              <w:cnfStyle w:val="000000000000" w:firstRow="0" w:lastRow="0" w:firstColumn="0" w:lastColumn="0" w:oddVBand="0" w:evenVBand="0" w:oddHBand="0" w:evenHBand="0" w:firstRowFirstColumn="0" w:firstRowLastColumn="0" w:lastRowFirstColumn="0" w:lastRowLastColumn="0"/>
              <w:rPr>
                <w:rFonts w:cstheme="minorHAnsi"/>
                <w:szCs w:val="24"/>
                <w:lang w:eastAsia="lv-LV"/>
              </w:rPr>
            </w:pPr>
            <w:r w:rsidRPr="008A3C56">
              <w:rPr>
                <w:rFonts w:cstheme="minorHAnsi"/>
                <w:lang w:eastAsia="lv-LV"/>
              </w:rPr>
              <w:t>Kritērijā jāsaņem vismaz 2 punkti</w:t>
            </w:r>
          </w:p>
        </w:tc>
      </w:tr>
      <w:tr w:rsidR="006A0C18" w:rsidRPr="008C0420" w14:paraId="2A12AE5F" w14:textId="77777777" w:rsidTr="002C275F">
        <w:tc>
          <w:tcPr>
            <w:cnfStyle w:val="001000000000" w:firstRow="0" w:lastRow="0" w:firstColumn="1" w:lastColumn="0" w:oddVBand="0" w:evenVBand="0" w:oddHBand="0" w:evenHBand="0" w:firstRowFirstColumn="0" w:firstRowLastColumn="0" w:lastRowFirstColumn="0" w:lastRowLastColumn="0"/>
            <w:tcW w:w="4152" w:type="dxa"/>
          </w:tcPr>
          <w:p w14:paraId="22B9FE9B" w14:textId="77777777" w:rsidR="006A0C18" w:rsidRPr="006536C6" w:rsidRDefault="006A0C18" w:rsidP="006A0C18">
            <w:pPr>
              <w:pStyle w:val="ListParagraph"/>
              <w:keepLines w:val="0"/>
              <w:numPr>
                <w:ilvl w:val="0"/>
                <w:numId w:val="13"/>
              </w:numPr>
              <w:shd w:val="clear" w:color="auto" w:fill="auto"/>
              <w:spacing w:before="0" w:after="0"/>
              <w:jc w:val="left"/>
              <w:rPr>
                <w:b w:val="0"/>
                <w:lang w:eastAsia="lv-LV"/>
              </w:rPr>
            </w:pPr>
            <w:r w:rsidRPr="006536C6">
              <w:rPr>
                <w:b w:val="0"/>
                <w:lang w:eastAsia="lv-LV"/>
              </w:rPr>
              <w:t>Pētījuma izpildes vērtējums:</w:t>
            </w:r>
          </w:p>
          <w:p w14:paraId="709E43F9" w14:textId="343E8D4F" w:rsidR="006A0C18" w:rsidRPr="006A0C18" w:rsidRDefault="006A0C18" w:rsidP="008A3C56">
            <w:pPr>
              <w:keepLines w:val="0"/>
              <w:shd w:val="clear" w:color="auto" w:fill="auto"/>
              <w:spacing w:before="0" w:after="0"/>
              <w:jc w:val="left"/>
              <w:rPr>
                <w:lang w:eastAsia="lv-LV"/>
              </w:rPr>
            </w:pPr>
          </w:p>
        </w:tc>
        <w:tc>
          <w:tcPr>
            <w:tcW w:w="1443" w:type="dxa"/>
          </w:tcPr>
          <w:p w14:paraId="02A29156" w14:textId="77777777" w:rsidR="006A0C18" w:rsidRPr="002319D2" w:rsidRDefault="006A0C18" w:rsidP="006A0C18">
            <w:pPr>
              <w:spacing w:before="0"/>
              <w:jc w:val="center"/>
              <w:cnfStyle w:val="000000000000" w:firstRow="0" w:lastRow="0" w:firstColumn="0" w:lastColumn="0" w:oddVBand="0" w:evenVBand="0" w:oddHBand="0" w:evenHBand="0" w:firstRowFirstColumn="0" w:firstRowLastColumn="0" w:lastRowFirstColumn="0" w:lastRowLastColumn="0"/>
              <w:rPr>
                <w:bCs/>
                <w:szCs w:val="24"/>
                <w:lang w:eastAsia="lv-LV"/>
              </w:rPr>
            </w:pPr>
          </w:p>
        </w:tc>
        <w:tc>
          <w:tcPr>
            <w:tcW w:w="3047" w:type="dxa"/>
          </w:tcPr>
          <w:p w14:paraId="0F1EBA6B" w14:textId="77777777" w:rsidR="006A0C18" w:rsidRPr="008A3C56" w:rsidRDefault="006A0C18" w:rsidP="006A0C18">
            <w:pPr>
              <w:jc w:val="center"/>
              <w:cnfStyle w:val="000000000000" w:firstRow="0" w:lastRow="0" w:firstColumn="0" w:lastColumn="0" w:oddVBand="0" w:evenVBand="0" w:oddHBand="0" w:evenHBand="0" w:firstRowFirstColumn="0" w:firstRowLastColumn="0" w:lastRowFirstColumn="0" w:lastRowLastColumn="0"/>
              <w:rPr>
                <w:rFonts w:cstheme="minorHAnsi"/>
                <w:lang w:eastAsia="lv-LV"/>
              </w:rPr>
            </w:pPr>
            <w:r w:rsidRPr="008A3C56">
              <w:rPr>
                <w:rFonts w:cstheme="minorHAnsi"/>
                <w:lang w:eastAsia="lv-LV"/>
              </w:rPr>
              <w:t xml:space="preserve">Vērtē 1-5 punktu skalā. </w:t>
            </w:r>
          </w:p>
          <w:p w14:paraId="03749206" w14:textId="2C5C46A2" w:rsidR="006A0C18" w:rsidRPr="00E62F6B" w:rsidRDefault="006A0C18" w:rsidP="006A0C18">
            <w:pPr>
              <w:spacing w:before="0"/>
              <w:jc w:val="center"/>
              <w:cnfStyle w:val="000000000000" w:firstRow="0" w:lastRow="0" w:firstColumn="0" w:lastColumn="0" w:oddVBand="0" w:evenVBand="0" w:oddHBand="0" w:evenHBand="0" w:firstRowFirstColumn="0" w:firstRowLastColumn="0" w:lastRowFirstColumn="0" w:lastRowLastColumn="0"/>
              <w:rPr>
                <w:rFonts w:cstheme="minorHAnsi"/>
                <w:bCs/>
                <w:szCs w:val="24"/>
                <w:lang w:eastAsia="lv-LV"/>
              </w:rPr>
            </w:pPr>
            <w:r w:rsidRPr="008A3C56">
              <w:rPr>
                <w:rFonts w:cstheme="minorHAnsi"/>
                <w:lang w:eastAsia="lv-LV"/>
              </w:rPr>
              <w:t>Kritērijā jāsaņem vismaz 2 punkti</w:t>
            </w:r>
          </w:p>
        </w:tc>
      </w:tr>
      <w:tr w:rsidR="006A0C18" w:rsidRPr="008C0420" w14:paraId="137CD9BE" w14:textId="77777777" w:rsidTr="002C275F">
        <w:tc>
          <w:tcPr>
            <w:cnfStyle w:val="001000000000" w:firstRow="0" w:lastRow="0" w:firstColumn="1" w:lastColumn="0" w:oddVBand="0" w:evenVBand="0" w:oddHBand="0" w:evenHBand="0" w:firstRowFirstColumn="0" w:firstRowLastColumn="0" w:lastRowFirstColumn="0" w:lastRowLastColumn="0"/>
            <w:tcW w:w="4152" w:type="dxa"/>
          </w:tcPr>
          <w:p w14:paraId="1CF73A26" w14:textId="6B0E7ECE" w:rsidR="006A0C18" w:rsidRPr="002319D2" w:rsidRDefault="006A0C18" w:rsidP="006A0C18">
            <w:pPr>
              <w:pStyle w:val="ListParagraph"/>
              <w:numPr>
                <w:ilvl w:val="0"/>
                <w:numId w:val="13"/>
              </w:numPr>
              <w:rPr>
                <w:b w:val="0"/>
                <w:bCs w:val="0"/>
                <w:lang w:eastAsia="lv-LV"/>
              </w:rPr>
            </w:pPr>
            <w:r w:rsidRPr="006536C6">
              <w:rPr>
                <w:b w:val="0"/>
                <w:lang w:eastAsia="lv-LV"/>
              </w:rPr>
              <w:t>Pētījuma atbilstība kompetences centra pētniecības virzienam</w:t>
            </w:r>
          </w:p>
        </w:tc>
        <w:tc>
          <w:tcPr>
            <w:tcW w:w="1443" w:type="dxa"/>
          </w:tcPr>
          <w:p w14:paraId="537E7AE0" w14:textId="77777777" w:rsidR="006A0C18" w:rsidRPr="002319D2" w:rsidRDefault="006A0C18" w:rsidP="006A0C18">
            <w:pPr>
              <w:spacing w:before="0"/>
              <w:jc w:val="center"/>
              <w:cnfStyle w:val="000000000000" w:firstRow="0" w:lastRow="0" w:firstColumn="0" w:lastColumn="0" w:oddVBand="0" w:evenVBand="0" w:oddHBand="0" w:evenHBand="0" w:firstRowFirstColumn="0" w:firstRowLastColumn="0" w:lastRowFirstColumn="0" w:lastRowLastColumn="0"/>
              <w:rPr>
                <w:bCs/>
                <w:szCs w:val="24"/>
                <w:lang w:eastAsia="lv-LV"/>
              </w:rPr>
            </w:pPr>
          </w:p>
        </w:tc>
        <w:tc>
          <w:tcPr>
            <w:tcW w:w="3047" w:type="dxa"/>
          </w:tcPr>
          <w:p w14:paraId="789755F7" w14:textId="77777777" w:rsidR="006A0C18" w:rsidRPr="008A3C56" w:rsidRDefault="006A0C18" w:rsidP="006A0C18">
            <w:pPr>
              <w:jc w:val="center"/>
              <w:cnfStyle w:val="000000000000" w:firstRow="0" w:lastRow="0" w:firstColumn="0" w:lastColumn="0" w:oddVBand="0" w:evenVBand="0" w:oddHBand="0" w:evenHBand="0" w:firstRowFirstColumn="0" w:firstRowLastColumn="0" w:lastRowFirstColumn="0" w:lastRowLastColumn="0"/>
              <w:rPr>
                <w:rFonts w:cstheme="minorHAnsi"/>
                <w:lang w:eastAsia="lv-LV"/>
              </w:rPr>
            </w:pPr>
            <w:r w:rsidRPr="008A3C56">
              <w:rPr>
                <w:rFonts w:cstheme="minorHAnsi"/>
                <w:lang w:eastAsia="lv-LV"/>
              </w:rPr>
              <w:t>Jā – 1; Nē - 0</w:t>
            </w:r>
          </w:p>
          <w:p w14:paraId="561C3728" w14:textId="29D7432F" w:rsidR="006A0C18" w:rsidRPr="00E62F6B" w:rsidRDefault="006A0C18" w:rsidP="006A0C18">
            <w:pPr>
              <w:spacing w:before="0"/>
              <w:jc w:val="center"/>
              <w:cnfStyle w:val="000000000000" w:firstRow="0" w:lastRow="0" w:firstColumn="0" w:lastColumn="0" w:oddVBand="0" w:evenVBand="0" w:oddHBand="0" w:evenHBand="0" w:firstRowFirstColumn="0" w:firstRowLastColumn="0" w:lastRowFirstColumn="0" w:lastRowLastColumn="0"/>
              <w:rPr>
                <w:rFonts w:cstheme="minorHAnsi"/>
                <w:bCs/>
                <w:szCs w:val="24"/>
                <w:lang w:eastAsia="lv-LV"/>
              </w:rPr>
            </w:pPr>
            <w:r w:rsidRPr="008A3C56">
              <w:rPr>
                <w:rFonts w:cstheme="minorHAnsi"/>
                <w:lang w:eastAsia="lv-LV"/>
              </w:rPr>
              <w:t>Kritērijs ir izslēdzošs</w:t>
            </w:r>
          </w:p>
        </w:tc>
      </w:tr>
      <w:tr w:rsidR="006A0C18" w:rsidRPr="000E3E46" w14:paraId="20D3F2AB" w14:textId="77777777" w:rsidTr="002C275F">
        <w:tc>
          <w:tcPr>
            <w:cnfStyle w:val="001000000000" w:firstRow="0" w:lastRow="0" w:firstColumn="1" w:lastColumn="0" w:oddVBand="0" w:evenVBand="0" w:oddHBand="0" w:evenHBand="0" w:firstRowFirstColumn="0" w:firstRowLastColumn="0" w:lastRowFirstColumn="0" w:lastRowLastColumn="0"/>
            <w:tcW w:w="4152" w:type="dxa"/>
          </w:tcPr>
          <w:p w14:paraId="33E5CCF3" w14:textId="27C23CEF" w:rsidR="006A0C18" w:rsidRPr="002319D2" w:rsidRDefault="006A0C18" w:rsidP="006A0C18">
            <w:pPr>
              <w:pStyle w:val="ListParagraph"/>
              <w:keepLines w:val="0"/>
              <w:numPr>
                <w:ilvl w:val="0"/>
                <w:numId w:val="13"/>
              </w:numPr>
              <w:shd w:val="clear" w:color="auto" w:fill="auto"/>
              <w:spacing w:before="0" w:after="0"/>
              <w:jc w:val="left"/>
              <w:rPr>
                <w:b w:val="0"/>
                <w:bCs w:val="0"/>
                <w:lang w:eastAsia="lv-LV"/>
              </w:rPr>
            </w:pPr>
            <w:r w:rsidRPr="006536C6">
              <w:rPr>
                <w:b w:val="0"/>
                <w:lang w:eastAsia="lv-LV"/>
              </w:rPr>
              <w:t>Principa "nenodarīt būtisku kaitējumu" ievērošana</w:t>
            </w:r>
          </w:p>
        </w:tc>
        <w:tc>
          <w:tcPr>
            <w:tcW w:w="1443" w:type="dxa"/>
          </w:tcPr>
          <w:p w14:paraId="11F4448C" w14:textId="77777777" w:rsidR="006A0C18" w:rsidRPr="001B5B8C" w:rsidRDefault="006A0C18" w:rsidP="006A0C18">
            <w:pPr>
              <w:spacing w:before="0"/>
              <w:jc w:val="center"/>
              <w:cnfStyle w:val="000000000000" w:firstRow="0" w:lastRow="0" w:firstColumn="0" w:lastColumn="0" w:oddVBand="0" w:evenVBand="0" w:oddHBand="0" w:evenHBand="0" w:firstRowFirstColumn="0" w:firstRowLastColumn="0" w:lastRowFirstColumn="0" w:lastRowLastColumn="0"/>
              <w:rPr>
                <w:b/>
                <w:szCs w:val="24"/>
                <w:lang w:eastAsia="lv-LV"/>
              </w:rPr>
            </w:pPr>
          </w:p>
        </w:tc>
        <w:tc>
          <w:tcPr>
            <w:tcW w:w="3047" w:type="dxa"/>
          </w:tcPr>
          <w:p w14:paraId="4202C70C" w14:textId="77777777" w:rsidR="006A0C18" w:rsidRPr="008A3C56" w:rsidRDefault="006A0C18" w:rsidP="006A0C18">
            <w:pPr>
              <w:jc w:val="center"/>
              <w:cnfStyle w:val="000000000000" w:firstRow="0" w:lastRow="0" w:firstColumn="0" w:lastColumn="0" w:oddVBand="0" w:evenVBand="0" w:oddHBand="0" w:evenHBand="0" w:firstRowFirstColumn="0" w:firstRowLastColumn="0" w:lastRowFirstColumn="0" w:lastRowLastColumn="0"/>
              <w:rPr>
                <w:rFonts w:cstheme="minorHAnsi"/>
                <w:lang w:eastAsia="lv-LV"/>
              </w:rPr>
            </w:pPr>
            <w:r w:rsidRPr="008A3C56">
              <w:rPr>
                <w:rFonts w:cstheme="minorHAnsi"/>
                <w:lang w:eastAsia="lv-LV"/>
              </w:rPr>
              <w:t>Jā – 1; Nē - 0</w:t>
            </w:r>
          </w:p>
          <w:p w14:paraId="62F66029" w14:textId="689CB4A8" w:rsidR="006A0C18" w:rsidRPr="00E62F6B" w:rsidRDefault="006A0C18" w:rsidP="006A0C18">
            <w:pPr>
              <w:spacing w:before="0"/>
              <w:jc w:val="center"/>
              <w:cnfStyle w:val="000000000000" w:firstRow="0" w:lastRow="0" w:firstColumn="0" w:lastColumn="0" w:oddVBand="0" w:evenVBand="0" w:oddHBand="0" w:evenHBand="0" w:firstRowFirstColumn="0" w:firstRowLastColumn="0" w:lastRowFirstColumn="0" w:lastRowLastColumn="0"/>
              <w:rPr>
                <w:rFonts w:cstheme="minorHAnsi"/>
                <w:szCs w:val="24"/>
                <w:lang w:eastAsia="lv-LV"/>
              </w:rPr>
            </w:pPr>
            <w:r w:rsidRPr="008A3C56">
              <w:rPr>
                <w:rFonts w:cstheme="minorHAnsi"/>
                <w:lang w:eastAsia="lv-LV"/>
              </w:rPr>
              <w:t>Kritērijs ir izslēdzošs</w:t>
            </w:r>
          </w:p>
        </w:tc>
      </w:tr>
      <w:tr w:rsidR="006A0C18" w:rsidRPr="000E3E46" w14:paraId="648D7247" w14:textId="77777777" w:rsidTr="002C275F">
        <w:tc>
          <w:tcPr>
            <w:cnfStyle w:val="001000000000" w:firstRow="0" w:lastRow="0" w:firstColumn="1" w:lastColumn="0" w:oddVBand="0" w:evenVBand="0" w:oddHBand="0" w:evenHBand="0" w:firstRowFirstColumn="0" w:firstRowLastColumn="0" w:lastRowFirstColumn="0" w:lastRowLastColumn="0"/>
            <w:tcW w:w="4152" w:type="dxa"/>
          </w:tcPr>
          <w:p w14:paraId="7E114191" w14:textId="6C7F0892" w:rsidR="006A0C18" w:rsidRPr="002319D2" w:rsidRDefault="006A0C18" w:rsidP="008A3C56">
            <w:pPr>
              <w:pStyle w:val="ListParagraph"/>
              <w:keepLines w:val="0"/>
              <w:numPr>
                <w:ilvl w:val="0"/>
                <w:numId w:val="0"/>
              </w:numPr>
              <w:shd w:val="clear" w:color="auto" w:fill="auto"/>
              <w:spacing w:before="0" w:after="0"/>
              <w:ind w:left="360"/>
              <w:jc w:val="left"/>
              <w:rPr>
                <w:b w:val="0"/>
                <w:bCs w:val="0"/>
                <w:lang w:eastAsia="lv-LV"/>
              </w:rPr>
            </w:pPr>
            <w:r w:rsidRPr="006536C6">
              <w:rPr>
                <w:rFonts w:ascii="Times New Roman" w:hAnsi="Times New Roman" w:cs="Times New Roman"/>
                <w:lang w:eastAsia="lv-LV"/>
              </w:rPr>
              <w:t>Kopā</w:t>
            </w:r>
          </w:p>
        </w:tc>
        <w:tc>
          <w:tcPr>
            <w:tcW w:w="1443" w:type="dxa"/>
          </w:tcPr>
          <w:p w14:paraId="770D4166" w14:textId="77777777" w:rsidR="006A0C18" w:rsidRPr="001B5B8C" w:rsidRDefault="006A0C18" w:rsidP="006A0C18">
            <w:pPr>
              <w:spacing w:before="0"/>
              <w:jc w:val="center"/>
              <w:cnfStyle w:val="000000000000" w:firstRow="0" w:lastRow="0" w:firstColumn="0" w:lastColumn="0" w:oddVBand="0" w:evenVBand="0" w:oddHBand="0" w:evenHBand="0" w:firstRowFirstColumn="0" w:firstRowLastColumn="0" w:lastRowFirstColumn="0" w:lastRowLastColumn="0"/>
              <w:rPr>
                <w:b/>
                <w:szCs w:val="24"/>
                <w:lang w:eastAsia="lv-LV"/>
              </w:rPr>
            </w:pPr>
          </w:p>
        </w:tc>
        <w:tc>
          <w:tcPr>
            <w:tcW w:w="3047" w:type="dxa"/>
          </w:tcPr>
          <w:p w14:paraId="5292CB48" w14:textId="57F0054C" w:rsidR="006A0C18" w:rsidRPr="00E62F6B" w:rsidRDefault="006A0C18" w:rsidP="006A0C18">
            <w:pPr>
              <w:spacing w:before="0"/>
              <w:jc w:val="center"/>
              <w:cnfStyle w:val="000000000000" w:firstRow="0" w:lastRow="0" w:firstColumn="0" w:lastColumn="0" w:oddVBand="0" w:evenVBand="0" w:oddHBand="0" w:evenHBand="0" w:firstRowFirstColumn="0" w:firstRowLastColumn="0" w:lastRowFirstColumn="0" w:lastRowLastColumn="0"/>
              <w:rPr>
                <w:rFonts w:cstheme="minorHAnsi"/>
                <w:szCs w:val="24"/>
                <w:lang w:eastAsia="lv-LV"/>
              </w:rPr>
            </w:pPr>
            <w:r w:rsidRPr="008A3C56">
              <w:rPr>
                <w:rFonts w:cstheme="minorHAnsi"/>
                <w:lang w:eastAsia="lv-LV"/>
              </w:rPr>
              <w:t>(Max. 21. punkti)</w:t>
            </w:r>
          </w:p>
        </w:tc>
      </w:tr>
    </w:tbl>
    <w:p w14:paraId="27FB88FF" w14:textId="77777777" w:rsidR="008F12F6" w:rsidRPr="008A3C56" w:rsidRDefault="008F12F6" w:rsidP="008F12F6">
      <w:pPr>
        <w:rPr>
          <w:rFonts w:cstheme="minorHAnsi"/>
        </w:rPr>
      </w:pPr>
      <w:r w:rsidRPr="008A3C56">
        <w:rPr>
          <w:rFonts w:cstheme="minorHAnsi"/>
          <w:lang w:eastAsia="lv-LV"/>
        </w:rPr>
        <w:t>*</w:t>
      </w:r>
      <w:r w:rsidRPr="008A3C56">
        <w:rPr>
          <w:rFonts w:cstheme="minorHAnsi"/>
        </w:rPr>
        <w:t xml:space="preserve"> TEHNOLOĢIJU GATAVĪBAS LĪMEŅI </w:t>
      </w:r>
    </w:p>
    <w:p w14:paraId="77C35DE0" w14:textId="77777777" w:rsidR="008F12F6" w:rsidRPr="008A3C56" w:rsidRDefault="008F12F6" w:rsidP="008F12F6">
      <w:pPr>
        <w:pStyle w:val="ListParagraph"/>
        <w:keepLines w:val="0"/>
        <w:numPr>
          <w:ilvl w:val="0"/>
          <w:numId w:val="50"/>
        </w:numPr>
        <w:shd w:val="clear" w:color="auto" w:fill="auto"/>
        <w:spacing w:before="0" w:after="0"/>
        <w:rPr>
          <w:rFonts w:cstheme="minorHAnsi"/>
          <w:lang w:eastAsia="lv-LV"/>
        </w:rPr>
      </w:pPr>
      <w:r w:rsidRPr="008A3C56">
        <w:rPr>
          <w:rFonts w:cstheme="minorHAnsi"/>
          <w:lang w:eastAsia="lv-LV"/>
        </w:rPr>
        <w:t>Tehnoloģiju gatavības līmenis/TRL 1 – Izzināti dabas likumi: zinātniskā pētījuma rezultāti ļauj uzsākt lietišķās pētniecības un tehnoloģijas attīstības darbus.</w:t>
      </w:r>
    </w:p>
    <w:p w14:paraId="1CF53FE8" w14:textId="77777777" w:rsidR="008F12F6" w:rsidRPr="008A3C56" w:rsidRDefault="008F12F6" w:rsidP="008F12F6">
      <w:pPr>
        <w:pStyle w:val="ListParagraph"/>
        <w:keepLines w:val="0"/>
        <w:numPr>
          <w:ilvl w:val="0"/>
          <w:numId w:val="50"/>
        </w:numPr>
        <w:shd w:val="clear" w:color="auto" w:fill="auto"/>
        <w:spacing w:before="0" w:after="0"/>
        <w:rPr>
          <w:rFonts w:cstheme="minorHAnsi"/>
          <w:lang w:eastAsia="lv-LV"/>
        </w:rPr>
      </w:pPr>
      <w:r w:rsidRPr="008A3C56">
        <w:rPr>
          <w:rFonts w:cstheme="minorHAnsi"/>
          <w:lang w:eastAsia="lv-LV"/>
        </w:rPr>
        <w:lastRenderedPageBreak/>
        <w:t>Tehnoloģiju gatavības līmenis/TRL 2 – Formulēta tehnoloģijas praktiskā lietojuma koncepcija.</w:t>
      </w:r>
    </w:p>
    <w:p w14:paraId="07A15F8E" w14:textId="77777777" w:rsidR="008F12F6" w:rsidRPr="008A3C56" w:rsidRDefault="008F12F6" w:rsidP="008F12F6">
      <w:pPr>
        <w:pStyle w:val="ListParagraph"/>
        <w:keepLines w:val="0"/>
        <w:numPr>
          <w:ilvl w:val="0"/>
          <w:numId w:val="50"/>
        </w:numPr>
        <w:shd w:val="clear" w:color="auto" w:fill="auto"/>
        <w:spacing w:before="0" w:after="0"/>
        <w:rPr>
          <w:rFonts w:cstheme="minorHAnsi"/>
          <w:lang w:eastAsia="lv-LV"/>
        </w:rPr>
      </w:pPr>
      <w:r w:rsidRPr="008A3C56">
        <w:rPr>
          <w:rFonts w:cstheme="minorHAnsi"/>
          <w:lang w:eastAsia="lv-LV"/>
        </w:rPr>
        <w:t>Tehnoloģiju gatavības līmenis/TRL 3 – Koncepcijas eksperimentālā pārbaude: uzsākta izpēte un izstrāde (analītiskie/laboratorijas pētījumi), lai apstiprinātu prognozes par tehnoloģijas komponentēm.</w:t>
      </w:r>
    </w:p>
    <w:p w14:paraId="54DB8DDF" w14:textId="77777777" w:rsidR="008F12F6" w:rsidRPr="008A3C56" w:rsidRDefault="008F12F6" w:rsidP="008F12F6">
      <w:pPr>
        <w:pStyle w:val="ListParagraph"/>
        <w:keepLines w:val="0"/>
        <w:numPr>
          <w:ilvl w:val="0"/>
          <w:numId w:val="50"/>
        </w:numPr>
        <w:shd w:val="clear" w:color="auto" w:fill="auto"/>
        <w:spacing w:before="0" w:after="0"/>
        <w:rPr>
          <w:rFonts w:cstheme="minorHAnsi"/>
          <w:lang w:eastAsia="lv-LV"/>
        </w:rPr>
      </w:pPr>
      <w:r w:rsidRPr="008A3C56">
        <w:rPr>
          <w:rFonts w:cstheme="minorHAnsi"/>
          <w:lang w:eastAsia="lv-LV"/>
        </w:rPr>
        <w:t>Tehnoloģiju gatavības līmenis/TRL 4 – Tehnoloģijas validācija laboratorijas vidē: veikta galveno tehnoloģisko komponentu integrācija, lai pārbaudīto to kopdarbību laboratorijas vidē.</w:t>
      </w:r>
    </w:p>
    <w:p w14:paraId="05DE8233" w14:textId="77777777" w:rsidR="008F12F6" w:rsidRPr="008A3C56" w:rsidRDefault="008F12F6" w:rsidP="008F12F6">
      <w:pPr>
        <w:pStyle w:val="ListParagraph"/>
        <w:keepLines w:val="0"/>
        <w:numPr>
          <w:ilvl w:val="0"/>
          <w:numId w:val="50"/>
        </w:numPr>
        <w:shd w:val="clear" w:color="auto" w:fill="auto"/>
        <w:spacing w:before="0" w:after="0"/>
        <w:rPr>
          <w:rFonts w:cstheme="minorHAnsi"/>
          <w:lang w:eastAsia="lv-LV"/>
        </w:rPr>
      </w:pPr>
      <w:r w:rsidRPr="008A3C56">
        <w:rPr>
          <w:rFonts w:cstheme="minorHAnsi"/>
          <w:lang w:eastAsia="lv-LV"/>
        </w:rPr>
        <w:t>Tehnoloģiju gatavības līmenis/TRL 5 – Tehnoloģijas validācija mākslīgi radītā vidē: tehnoloģiskie komponenti ir integrēti ar samērā reāliem atbalsta elementiem, lai tehnoloģiju var pārbaudīt mākslīgi radītā vidē.</w:t>
      </w:r>
    </w:p>
    <w:p w14:paraId="44359E5E" w14:textId="77777777" w:rsidR="008F12F6" w:rsidRPr="008A3C56" w:rsidRDefault="008F12F6" w:rsidP="008F12F6">
      <w:pPr>
        <w:pStyle w:val="ListParagraph"/>
        <w:keepLines w:val="0"/>
        <w:numPr>
          <w:ilvl w:val="0"/>
          <w:numId w:val="50"/>
        </w:numPr>
        <w:shd w:val="clear" w:color="auto" w:fill="auto"/>
        <w:spacing w:before="0" w:after="0"/>
        <w:rPr>
          <w:rFonts w:cstheme="minorHAnsi"/>
          <w:lang w:eastAsia="lv-LV"/>
        </w:rPr>
      </w:pPr>
      <w:r w:rsidRPr="008A3C56">
        <w:rPr>
          <w:rFonts w:cstheme="minorHAnsi"/>
          <w:lang w:eastAsia="lv-LV"/>
        </w:rPr>
        <w:t>Tehnoloģiju gatavības līmenis/TRL 6 – Tehnoloģijas demonstrācijā mākslīgi radītā vidē: sistēmas modelis vai prototips ir pārbaudīts mākslīgi radītā vidē.</w:t>
      </w:r>
    </w:p>
    <w:p w14:paraId="58094CB2" w14:textId="77777777" w:rsidR="008F12F6" w:rsidRPr="008A3C56" w:rsidRDefault="008F12F6" w:rsidP="008F12F6">
      <w:pPr>
        <w:pStyle w:val="ListParagraph"/>
        <w:keepLines w:val="0"/>
        <w:numPr>
          <w:ilvl w:val="0"/>
          <w:numId w:val="50"/>
        </w:numPr>
        <w:shd w:val="clear" w:color="auto" w:fill="auto"/>
        <w:spacing w:before="0" w:after="0"/>
        <w:rPr>
          <w:rFonts w:cstheme="minorHAnsi"/>
          <w:lang w:eastAsia="lv-LV"/>
        </w:rPr>
      </w:pPr>
      <w:r w:rsidRPr="008A3C56">
        <w:rPr>
          <w:rFonts w:cstheme="minorHAnsi"/>
          <w:lang w:eastAsia="lv-LV"/>
        </w:rPr>
        <w:t>Tehnoloģiju gatavības līmenis/TRL 7 – Sistēmas prototipa demonstrācija darbības vidē: sistēmas prototips, kas atbilst vai tikai minimāli atšķiras no plānotās sistēmas, ir pārbaudīts reālās darbības vidē.</w:t>
      </w:r>
    </w:p>
    <w:p w14:paraId="77D02C9E" w14:textId="77777777" w:rsidR="008F12F6" w:rsidRPr="008A3C56" w:rsidRDefault="008F12F6" w:rsidP="008F12F6">
      <w:pPr>
        <w:pStyle w:val="ListParagraph"/>
        <w:keepLines w:val="0"/>
        <w:numPr>
          <w:ilvl w:val="0"/>
          <w:numId w:val="50"/>
        </w:numPr>
        <w:shd w:val="clear" w:color="auto" w:fill="auto"/>
        <w:spacing w:before="0" w:after="0"/>
        <w:rPr>
          <w:rFonts w:cstheme="minorHAnsi"/>
          <w:lang w:eastAsia="lv-LV"/>
        </w:rPr>
      </w:pPr>
      <w:r w:rsidRPr="008A3C56">
        <w:rPr>
          <w:rFonts w:cstheme="minorHAnsi"/>
          <w:lang w:eastAsia="lv-LV"/>
        </w:rPr>
        <w:t>Tehnoloģiju gatavības līmenis/TRL 8 – Sistēma ir pabeigta un pārbaudīta: ir pierādīts, ka tehnoloģija darbojas tās galīgajā formā un plānotajos apstākļos (pēdējais tehnoloģijas attīstības līmenis).</w:t>
      </w:r>
    </w:p>
    <w:p w14:paraId="084C8F14" w14:textId="77777777" w:rsidR="008F12F6" w:rsidRPr="008A3C56" w:rsidRDefault="008F12F6" w:rsidP="008F12F6">
      <w:pPr>
        <w:pStyle w:val="ListParagraph"/>
        <w:keepLines w:val="0"/>
        <w:numPr>
          <w:ilvl w:val="0"/>
          <w:numId w:val="50"/>
        </w:numPr>
        <w:shd w:val="clear" w:color="auto" w:fill="auto"/>
        <w:spacing w:before="0" w:after="0"/>
        <w:rPr>
          <w:rFonts w:cstheme="minorHAnsi"/>
          <w:lang w:eastAsia="lv-LV"/>
        </w:rPr>
      </w:pPr>
      <w:r w:rsidRPr="008A3C56">
        <w:rPr>
          <w:rFonts w:cstheme="minorHAnsi"/>
          <w:lang w:eastAsia="lv-LV"/>
        </w:rPr>
        <w:t>Tehnoloģiju gatavības līmenis/TRL 9 – Sekmīga sistēmas ekspluatācija.</w:t>
      </w:r>
    </w:p>
    <w:p w14:paraId="7C19B878" w14:textId="77777777" w:rsidR="008F12F6" w:rsidRPr="008A3C56" w:rsidRDefault="008F12F6" w:rsidP="008F12F6">
      <w:pPr>
        <w:rPr>
          <w:rFonts w:cstheme="minorHAnsi"/>
        </w:rPr>
      </w:pPr>
      <w:r w:rsidRPr="008A3C56">
        <w:rPr>
          <w:rFonts w:cstheme="minorHAnsi"/>
          <w:lang w:eastAsia="lv-LV"/>
        </w:rPr>
        <w:t>Fundamentālie pētījumi parasti atbilst tehnoloģiju gatavības 1. līmenim. Rūpnieciskie pētījumi parasti atbilst tehnoloģiju gatavības 2.–4. līmenim. Eksperimentālā izstrāde parasti atbilst tehnoloģiju gatavības 5.–8. līmenim.</w:t>
      </w:r>
    </w:p>
    <w:p w14:paraId="01C6DB5E" w14:textId="77777777" w:rsidR="008F12F6" w:rsidRPr="008A3C56" w:rsidRDefault="008F12F6" w:rsidP="008F12F6">
      <w:pPr>
        <w:rPr>
          <w:rFonts w:cstheme="minorHAnsi"/>
          <w:lang w:eastAsia="lv-LV"/>
        </w:rPr>
      </w:pPr>
      <w:r w:rsidRPr="008A3C56">
        <w:rPr>
          <w:rFonts w:cstheme="minorHAnsi"/>
          <w:lang w:eastAsia="lv-LV"/>
        </w:rPr>
        <w:t>Projektus vērtē PAP locekļi, katru projektu izskatot kompleksi.</w:t>
      </w:r>
    </w:p>
    <w:p w14:paraId="44DA5DB8" w14:textId="77777777" w:rsidR="008F12F6" w:rsidRPr="008A3C56" w:rsidRDefault="008F12F6" w:rsidP="008F12F6">
      <w:pPr>
        <w:rPr>
          <w:rFonts w:cstheme="minorHAnsi"/>
          <w:lang w:eastAsia="lv-LV"/>
        </w:rPr>
      </w:pPr>
      <w:r w:rsidRPr="008A3C56">
        <w:rPr>
          <w:rFonts w:cstheme="minorHAnsi"/>
          <w:lang w:eastAsia="lv-LV"/>
        </w:rPr>
        <w:t>Atlases posmā projekti tiek izvērtēti 3 kategorijās ar mērķi projektā meklēt atbildes uz kategorijā uzdodamajiem jautājumiem, kas ir kvalitātes kritēriji, kuros katram vērtējumam jāsasniedz vērtība vismaz 2 punkti, skalā no 1 līdz 5. Kritērijā lielāku punktu skaitu var saņemt, ja augošā secībā tiek izpildīti zemāko punktu kritēriji.</w:t>
      </w:r>
    </w:p>
    <w:p w14:paraId="2E3C8677" w14:textId="6C2FA409" w:rsidR="006A1967" w:rsidRPr="00E62F6B" w:rsidRDefault="008F12F6" w:rsidP="006A1967">
      <w:pPr>
        <w:rPr>
          <w:rFonts w:cstheme="minorHAnsi"/>
        </w:rPr>
      </w:pPr>
      <w:r w:rsidRPr="008A3C56">
        <w:rPr>
          <w:rFonts w:cstheme="minorHAnsi"/>
          <w:lang w:eastAsia="lv-LV"/>
        </w:rPr>
        <w:t>Ņemot vērā, ka inovāciju projekti ir saistīti ar ievērojamu kompetenci projekta realizētāja pusē un specifiskām tirgus zināšanām, tiek salīdzināti tikai vienlaicīgi – vienā kārtā vērtētie projekti t.i., ja projekts tiek pārcelts uz nākošo PAP sēdi, tas atkal tiek salīdzināts ar visiem pieteiktajiem projektiem un tam punkti tiek piešķirti no jauna. Šādas sistēmas mērķis ir atlasīt tādus projektus, kas ar vislielāko ticamības pakāpi sasniegs KC un programmas mērķus un nodrošinās vislabākos rādītājus.</w:t>
      </w:r>
      <w:bookmarkStart w:id="100" w:name="_Hlk529797455"/>
      <w:r w:rsidR="006A1967" w:rsidRPr="00E62F6B">
        <w:rPr>
          <w:rFonts w:cstheme="minorHAnsi"/>
        </w:rPr>
        <w:t>Projektu vērtēšanai eksperti vadās gan pēc programmas vadlīnijām, gan katrā kategorijā rodot atbildes uz attiecīgajiem uzdodamajiem jautājumiem. Ņemot vērā, ka inovāciju projekti ir saistīti ir ievērojamu kompetenci projekta realizētāja pusē un specifiskām tirgus zināšanām, tiek salīdzināti tikai vienlaicīgi – vienā kārtā vērtētie projekti. T.i., ja projekts tiek pārcelts uz nākošo projektu atlases padomes sēdi, tas atkal tiek salīdzināts ar visiem pieteiktajiem projektiem un tam punkti tiek novērtēti no jauna. Šādas sistēmas mērķis ir atlasīt projektus, kas visticamāk sasniegs Kompetences centra un programmas mērķus un nodrošinās vislabākos rādītājus.</w:t>
      </w:r>
    </w:p>
    <w:bookmarkEnd w:id="100"/>
    <w:p w14:paraId="6E81605A" w14:textId="77431D8F" w:rsidR="00231A31" w:rsidRDefault="006A1967" w:rsidP="002319D2">
      <w:pPr>
        <w:pStyle w:val="Heading5"/>
        <w:rPr>
          <w:iCs/>
          <w:lang w:eastAsia="lv-LV"/>
        </w:rPr>
      </w:pPr>
      <w:r w:rsidRPr="007B4A2E">
        <w:rPr>
          <w:lang w:eastAsia="lv-LV"/>
        </w:rPr>
        <w:t xml:space="preserve">Pētījuma </w:t>
      </w:r>
      <w:r w:rsidRPr="002319D2">
        <w:rPr>
          <w:iCs/>
          <w:lang w:eastAsia="lv-LV"/>
        </w:rPr>
        <w:t>kvalitāte</w:t>
      </w:r>
    </w:p>
    <w:p w14:paraId="4AE2EA01" w14:textId="77777777" w:rsidR="008A1A19" w:rsidRPr="008A3C56" w:rsidRDefault="008A1A19" w:rsidP="008A1A19">
      <w:pPr>
        <w:rPr>
          <w:rFonts w:cstheme="minorHAnsi"/>
          <w:lang w:eastAsia="lv-LV"/>
        </w:rPr>
      </w:pPr>
      <w:r w:rsidRPr="008A3C56">
        <w:rPr>
          <w:rFonts w:cstheme="minorHAnsi"/>
          <w:lang w:eastAsia="lv-LV"/>
        </w:rPr>
        <w:t>Pētījuma kvalitātes vērtējums (Vērtē 1-5 punktu skalā; kritērijā jāsaņem vismaz 2 punkti)</w:t>
      </w:r>
    </w:p>
    <w:tbl>
      <w:tblPr>
        <w:tblStyle w:val="GridTable3-Accent5"/>
        <w:tblW w:w="0" w:type="auto"/>
        <w:tblLook w:val="04A0" w:firstRow="1" w:lastRow="0" w:firstColumn="1" w:lastColumn="0" w:noHBand="0" w:noVBand="1"/>
      </w:tblPr>
      <w:tblGrid>
        <w:gridCol w:w="661"/>
        <w:gridCol w:w="3132"/>
        <w:gridCol w:w="828"/>
        <w:gridCol w:w="665"/>
        <w:gridCol w:w="2198"/>
        <w:gridCol w:w="828"/>
      </w:tblGrid>
      <w:tr w:rsidR="00FE267B" w:rsidRPr="00F97A38" w14:paraId="10C282E3" w14:textId="77777777" w:rsidTr="00F97A38">
        <w:trPr>
          <w:cnfStyle w:val="100000000000" w:firstRow="1" w:lastRow="0" w:firstColumn="0" w:lastColumn="0" w:oddVBand="0" w:evenVBand="0" w:oddHBand="0" w:evenHBand="0" w:firstRowFirstColumn="0" w:firstRowLastColumn="0" w:lastRowFirstColumn="0" w:lastRowLastColumn="0"/>
          <w:trHeight w:val="20"/>
        </w:trPr>
        <w:tc>
          <w:tcPr>
            <w:cnfStyle w:val="001000000100" w:firstRow="0" w:lastRow="0" w:firstColumn="1" w:lastColumn="0" w:oddVBand="0" w:evenVBand="0" w:oddHBand="0" w:evenHBand="0" w:firstRowFirstColumn="1" w:firstRowLastColumn="0" w:lastRowFirstColumn="0" w:lastRowLastColumn="0"/>
            <w:tcW w:w="0" w:type="auto"/>
            <w:noWrap/>
            <w:hideMark/>
          </w:tcPr>
          <w:p w14:paraId="3C529979" w14:textId="77777777" w:rsidR="00231A31" w:rsidRPr="00F97A38" w:rsidRDefault="00231A31" w:rsidP="00DE11E1">
            <w:r w:rsidRPr="00F97A38">
              <w:t>Npk.</w:t>
            </w:r>
          </w:p>
        </w:tc>
        <w:tc>
          <w:tcPr>
            <w:tcW w:w="0" w:type="auto"/>
            <w:noWrap/>
            <w:hideMark/>
          </w:tcPr>
          <w:p w14:paraId="47D67B24" w14:textId="77777777" w:rsidR="00231A31" w:rsidRPr="00F97A38" w:rsidRDefault="00231A31" w:rsidP="00DE11E1">
            <w:pPr>
              <w:cnfStyle w:val="100000000000" w:firstRow="1" w:lastRow="0" w:firstColumn="0" w:lastColumn="0" w:oddVBand="0" w:evenVBand="0" w:oddHBand="0" w:evenHBand="0" w:firstRowFirstColumn="0" w:firstRowLastColumn="0" w:lastRowFirstColumn="0" w:lastRowLastColumn="0"/>
            </w:pPr>
            <w:r w:rsidRPr="00F97A38">
              <w:t>Tēma un ideja</w:t>
            </w:r>
          </w:p>
        </w:tc>
        <w:tc>
          <w:tcPr>
            <w:tcW w:w="0" w:type="auto"/>
            <w:noWrap/>
            <w:hideMark/>
          </w:tcPr>
          <w:p w14:paraId="0A3EF929" w14:textId="77777777" w:rsidR="00231A31" w:rsidRPr="00F97A38" w:rsidRDefault="00231A31" w:rsidP="00DE11E1">
            <w:pPr>
              <w:cnfStyle w:val="100000000000" w:firstRow="1" w:lastRow="0" w:firstColumn="0" w:lastColumn="0" w:oddVBand="0" w:evenVBand="0" w:oddHBand="0" w:evenHBand="0" w:firstRowFirstColumn="0" w:firstRowLastColumn="0" w:lastRowFirstColumn="0" w:lastRowLastColumn="0"/>
            </w:pPr>
            <w:r w:rsidRPr="00F97A38">
              <w:t>Punkti</w:t>
            </w:r>
          </w:p>
        </w:tc>
        <w:tc>
          <w:tcPr>
            <w:tcW w:w="0" w:type="auto"/>
            <w:noWrap/>
            <w:hideMark/>
          </w:tcPr>
          <w:p w14:paraId="2CE94EA5" w14:textId="77777777" w:rsidR="00231A31" w:rsidRPr="00F97A38" w:rsidRDefault="00231A31" w:rsidP="00DE11E1">
            <w:pPr>
              <w:cnfStyle w:val="100000000000" w:firstRow="1" w:lastRow="0" w:firstColumn="0" w:lastColumn="0" w:oddVBand="0" w:evenVBand="0" w:oddHBand="0" w:evenHBand="0" w:firstRowFirstColumn="0" w:firstRowLastColumn="0" w:lastRowFirstColumn="0" w:lastRowLastColumn="0"/>
            </w:pPr>
            <w:r w:rsidRPr="00F97A38">
              <w:t>Npk.</w:t>
            </w:r>
          </w:p>
        </w:tc>
        <w:tc>
          <w:tcPr>
            <w:tcW w:w="0" w:type="auto"/>
            <w:noWrap/>
            <w:hideMark/>
          </w:tcPr>
          <w:p w14:paraId="0D7AE4FD" w14:textId="77777777" w:rsidR="00231A31" w:rsidRPr="00F97A38" w:rsidRDefault="00231A31" w:rsidP="00DE11E1">
            <w:pPr>
              <w:cnfStyle w:val="100000000000" w:firstRow="1" w:lastRow="0" w:firstColumn="0" w:lastColumn="0" w:oddVBand="0" w:evenVBand="0" w:oddHBand="0" w:evenHBand="0" w:firstRowFirstColumn="0" w:firstRowLastColumn="0" w:lastRowFirstColumn="0" w:lastRowLastColumn="0"/>
            </w:pPr>
            <w:r w:rsidRPr="00F97A38">
              <w:t xml:space="preserve">Ilgtspēja </w:t>
            </w:r>
          </w:p>
        </w:tc>
        <w:tc>
          <w:tcPr>
            <w:tcW w:w="0" w:type="auto"/>
            <w:noWrap/>
            <w:hideMark/>
          </w:tcPr>
          <w:p w14:paraId="3EAF779B" w14:textId="77777777" w:rsidR="00231A31" w:rsidRPr="00F97A38" w:rsidRDefault="00231A31" w:rsidP="00DE11E1">
            <w:pPr>
              <w:cnfStyle w:val="100000000000" w:firstRow="1" w:lastRow="0" w:firstColumn="0" w:lastColumn="0" w:oddVBand="0" w:evenVBand="0" w:oddHBand="0" w:evenHBand="0" w:firstRowFirstColumn="0" w:firstRowLastColumn="0" w:lastRowFirstColumn="0" w:lastRowLastColumn="0"/>
            </w:pPr>
            <w:r w:rsidRPr="00F97A38">
              <w:t>Punkti</w:t>
            </w:r>
          </w:p>
        </w:tc>
      </w:tr>
      <w:tr w:rsidR="00FE267B" w:rsidRPr="00F97A38" w14:paraId="37C40573" w14:textId="77777777" w:rsidTr="00F97A3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noWrap/>
            <w:hideMark/>
          </w:tcPr>
          <w:p w14:paraId="5CFBFF87" w14:textId="77777777" w:rsidR="00231A31" w:rsidRPr="00F97A38" w:rsidRDefault="00231A31" w:rsidP="00DE11E1">
            <w:r w:rsidRPr="00F97A38">
              <w:lastRenderedPageBreak/>
              <w:t>1.1.</w:t>
            </w:r>
          </w:p>
        </w:tc>
        <w:tc>
          <w:tcPr>
            <w:tcW w:w="0" w:type="auto"/>
            <w:hideMark/>
          </w:tcPr>
          <w:p w14:paraId="4A86CB5D" w14:textId="77777777" w:rsidR="00231A31" w:rsidRPr="00F97A38" w:rsidRDefault="00231A31" w:rsidP="00DE11E1">
            <w:pPr>
              <w:cnfStyle w:val="000000100000" w:firstRow="0" w:lastRow="0" w:firstColumn="0" w:lastColumn="0" w:oddVBand="0" w:evenVBand="0" w:oddHBand="1" w:evenHBand="0" w:firstRowFirstColumn="0" w:firstRowLastColumn="0" w:lastRowFirstColumn="0" w:lastRowLastColumn="0"/>
            </w:pPr>
            <w:r w:rsidRPr="00F97A38">
              <w:t xml:space="preserve">Globālā līmenī oriģinālprodukts, kura komerciālās pētniecības tiesības iegādātas no zinātniskās institūcijas vai pērkot patenta tiesības </w:t>
            </w:r>
          </w:p>
        </w:tc>
        <w:tc>
          <w:tcPr>
            <w:tcW w:w="0" w:type="auto"/>
            <w:noWrap/>
            <w:hideMark/>
          </w:tcPr>
          <w:p w14:paraId="30348926" w14:textId="77777777" w:rsidR="00231A31" w:rsidRPr="00F97A38" w:rsidRDefault="00231A31" w:rsidP="00DE11E1">
            <w:pPr>
              <w:cnfStyle w:val="000000100000" w:firstRow="0" w:lastRow="0" w:firstColumn="0" w:lastColumn="0" w:oddVBand="0" w:evenVBand="0" w:oddHBand="1" w:evenHBand="0" w:firstRowFirstColumn="0" w:firstRowLastColumn="0" w:lastRowFirstColumn="0" w:lastRowLastColumn="0"/>
            </w:pPr>
            <w:r w:rsidRPr="00F97A38">
              <w:t>5</w:t>
            </w:r>
          </w:p>
        </w:tc>
        <w:tc>
          <w:tcPr>
            <w:tcW w:w="0" w:type="auto"/>
            <w:noWrap/>
            <w:hideMark/>
          </w:tcPr>
          <w:p w14:paraId="6A7E52E4" w14:textId="77777777" w:rsidR="00231A31" w:rsidRPr="00F97A38" w:rsidRDefault="00231A31" w:rsidP="00DE11E1">
            <w:pPr>
              <w:cnfStyle w:val="000000100000" w:firstRow="0" w:lastRow="0" w:firstColumn="0" w:lastColumn="0" w:oddVBand="0" w:evenVBand="0" w:oddHBand="1" w:evenHBand="0" w:firstRowFirstColumn="0" w:firstRowLastColumn="0" w:lastRowFirstColumn="0" w:lastRowLastColumn="0"/>
            </w:pPr>
            <w:r w:rsidRPr="00F97A38">
              <w:t>2.1.</w:t>
            </w:r>
          </w:p>
        </w:tc>
        <w:tc>
          <w:tcPr>
            <w:tcW w:w="0" w:type="auto"/>
            <w:hideMark/>
          </w:tcPr>
          <w:p w14:paraId="0B3ED7BD" w14:textId="77777777" w:rsidR="00231A31" w:rsidRPr="00F97A38" w:rsidRDefault="00231A31" w:rsidP="00DE11E1">
            <w:pPr>
              <w:cnfStyle w:val="000000100000" w:firstRow="0" w:lastRow="0" w:firstColumn="0" w:lastColumn="0" w:oddVBand="0" w:evenVBand="0" w:oddHBand="1" w:evenHBand="0" w:firstRowFirstColumn="0" w:firstRowLastColumn="0" w:lastRowFirstColumn="0" w:lastRowLastColumn="0"/>
            </w:pPr>
            <w:r w:rsidRPr="00F97A38">
              <w:t>Pieteiktā pētniecības projekta budžeta kopsumma sastāda &lt;20% no uzņēmuma 2 gadu vidējā apgrozījuma</w:t>
            </w:r>
          </w:p>
        </w:tc>
        <w:tc>
          <w:tcPr>
            <w:tcW w:w="0" w:type="auto"/>
            <w:noWrap/>
            <w:hideMark/>
          </w:tcPr>
          <w:p w14:paraId="04E71826" w14:textId="77777777" w:rsidR="00231A31" w:rsidRPr="00F97A38" w:rsidRDefault="00231A31" w:rsidP="00DE11E1">
            <w:pPr>
              <w:cnfStyle w:val="000000100000" w:firstRow="0" w:lastRow="0" w:firstColumn="0" w:lastColumn="0" w:oddVBand="0" w:evenVBand="0" w:oddHBand="1" w:evenHBand="0" w:firstRowFirstColumn="0" w:firstRowLastColumn="0" w:lastRowFirstColumn="0" w:lastRowLastColumn="0"/>
            </w:pPr>
            <w:r w:rsidRPr="00F97A38">
              <w:t>5</w:t>
            </w:r>
          </w:p>
        </w:tc>
      </w:tr>
      <w:tr w:rsidR="00FE267B" w:rsidRPr="00F97A38" w14:paraId="31C03FA5" w14:textId="77777777" w:rsidTr="00F97A38">
        <w:trPr>
          <w:trHeight w:val="20"/>
        </w:trPr>
        <w:tc>
          <w:tcPr>
            <w:cnfStyle w:val="001000000000" w:firstRow="0" w:lastRow="0" w:firstColumn="1" w:lastColumn="0" w:oddVBand="0" w:evenVBand="0" w:oddHBand="0" w:evenHBand="0" w:firstRowFirstColumn="0" w:firstRowLastColumn="0" w:lastRowFirstColumn="0" w:lastRowLastColumn="0"/>
            <w:tcW w:w="0" w:type="auto"/>
            <w:noWrap/>
            <w:hideMark/>
          </w:tcPr>
          <w:p w14:paraId="09DFC57A" w14:textId="77777777" w:rsidR="00231A31" w:rsidRPr="00F97A38" w:rsidRDefault="00231A31" w:rsidP="00DE11E1">
            <w:r w:rsidRPr="00F97A38">
              <w:t>1.2.</w:t>
            </w:r>
          </w:p>
        </w:tc>
        <w:tc>
          <w:tcPr>
            <w:tcW w:w="0" w:type="auto"/>
            <w:hideMark/>
          </w:tcPr>
          <w:p w14:paraId="68A7A0F3" w14:textId="77777777" w:rsidR="00231A31" w:rsidRPr="00F97A38" w:rsidRDefault="00231A31" w:rsidP="00DE11E1">
            <w:pPr>
              <w:cnfStyle w:val="000000000000" w:firstRow="0" w:lastRow="0" w:firstColumn="0" w:lastColumn="0" w:oddVBand="0" w:evenVBand="0" w:oddHBand="0" w:evenHBand="0" w:firstRowFirstColumn="0" w:firstRowLastColumn="0" w:lastRowFirstColumn="0" w:lastRowLastColumn="0"/>
            </w:pPr>
            <w:r w:rsidRPr="00F97A38">
              <w:t>Pēcpatenta (</w:t>
            </w:r>
            <w:r w:rsidRPr="00F97A38">
              <w:rPr>
                <w:i/>
              </w:rPr>
              <w:t>generic</w:t>
            </w:r>
            <w:r w:rsidRPr="00F97A38">
              <w:t xml:space="preserve">) produkts, kam globālo tirgu ir radījis oriģinālprodukts </w:t>
            </w:r>
          </w:p>
        </w:tc>
        <w:tc>
          <w:tcPr>
            <w:tcW w:w="0" w:type="auto"/>
            <w:noWrap/>
            <w:hideMark/>
          </w:tcPr>
          <w:p w14:paraId="01D67CFF" w14:textId="77777777" w:rsidR="00231A31" w:rsidRPr="00F97A38" w:rsidRDefault="00231A31" w:rsidP="00DE11E1">
            <w:pPr>
              <w:cnfStyle w:val="000000000000" w:firstRow="0" w:lastRow="0" w:firstColumn="0" w:lastColumn="0" w:oddVBand="0" w:evenVBand="0" w:oddHBand="0" w:evenHBand="0" w:firstRowFirstColumn="0" w:firstRowLastColumn="0" w:lastRowFirstColumn="0" w:lastRowLastColumn="0"/>
            </w:pPr>
            <w:r w:rsidRPr="00F97A38">
              <w:t>4</w:t>
            </w:r>
          </w:p>
        </w:tc>
        <w:tc>
          <w:tcPr>
            <w:tcW w:w="0" w:type="auto"/>
            <w:noWrap/>
            <w:hideMark/>
          </w:tcPr>
          <w:p w14:paraId="1C85F9A3" w14:textId="77777777" w:rsidR="00231A31" w:rsidRPr="00F97A38" w:rsidRDefault="00231A31" w:rsidP="00DE11E1">
            <w:pPr>
              <w:cnfStyle w:val="000000000000" w:firstRow="0" w:lastRow="0" w:firstColumn="0" w:lastColumn="0" w:oddVBand="0" w:evenVBand="0" w:oddHBand="0" w:evenHBand="0" w:firstRowFirstColumn="0" w:firstRowLastColumn="0" w:lastRowFirstColumn="0" w:lastRowLastColumn="0"/>
            </w:pPr>
            <w:r w:rsidRPr="00F97A38">
              <w:t>2.2.</w:t>
            </w:r>
          </w:p>
        </w:tc>
        <w:tc>
          <w:tcPr>
            <w:tcW w:w="0" w:type="auto"/>
            <w:hideMark/>
          </w:tcPr>
          <w:p w14:paraId="5AC6A221" w14:textId="77777777" w:rsidR="00231A31" w:rsidRPr="00F97A38" w:rsidRDefault="00231A31" w:rsidP="00DE11E1">
            <w:pPr>
              <w:cnfStyle w:val="000000000000" w:firstRow="0" w:lastRow="0" w:firstColumn="0" w:lastColumn="0" w:oddVBand="0" w:evenVBand="0" w:oddHBand="0" w:evenHBand="0" w:firstRowFirstColumn="0" w:firstRowLastColumn="0" w:lastRowFirstColumn="0" w:lastRowLastColumn="0"/>
            </w:pPr>
            <w:r w:rsidRPr="00F97A38">
              <w:t>Pieteiktā pētniecības projekta budžeta kopsumma sastāda 20%-40% no uzņēmuma 2 gadu vidējā apgrozījuma</w:t>
            </w:r>
          </w:p>
        </w:tc>
        <w:tc>
          <w:tcPr>
            <w:tcW w:w="0" w:type="auto"/>
            <w:noWrap/>
            <w:hideMark/>
          </w:tcPr>
          <w:p w14:paraId="1146BA83" w14:textId="77777777" w:rsidR="00231A31" w:rsidRPr="00F97A38" w:rsidRDefault="00231A31" w:rsidP="00DE11E1">
            <w:pPr>
              <w:cnfStyle w:val="000000000000" w:firstRow="0" w:lastRow="0" w:firstColumn="0" w:lastColumn="0" w:oddVBand="0" w:evenVBand="0" w:oddHBand="0" w:evenHBand="0" w:firstRowFirstColumn="0" w:firstRowLastColumn="0" w:lastRowFirstColumn="0" w:lastRowLastColumn="0"/>
            </w:pPr>
            <w:r w:rsidRPr="00F97A38">
              <w:t>4</w:t>
            </w:r>
          </w:p>
        </w:tc>
      </w:tr>
      <w:tr w:rsidR="00FE267B" w:rsidRPr="00F97A38" w14:paraId="4C4726B8" w14:textId="77777777" w:rsidTr="00F97A3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noWrap/>
            <w:hideMark/>
          </w:tcPr>
          <w:p w14:paraId="4FD06E26" w14:textId="77777777" w:rsidR="00231A31" w:rsidRPr="00F97A38" w:rsidRDefault="00231A31" w:rsidP="00DE11E1">
            <w:r w:rsidRPr="00F97A38">
              <w:t>1.3.</w:t>
            </w:r>
          </w:p>
        </w:tc>
        <w:tc>
          <w:tcPr>
            <w:tcW w:w="0" w:type="auto"/>
            <w:hideMark/>
          </w:tcPr>
          <w:p w14:paraId="0A1E90B5" w14:textId="77777777" w:rsidR="00231A31" w:rsidRPr="00F97A38" w:rsidRDefault="00231A31" w:rsidP="00DE11E1">
            <w:pPr>
              <w:cnfStyle w:val="000000100000" w:firstRow="0" w:lastRow="0" w:firstColumn="0" w:lastColumn="0" w:oddVBand="0" w:evenVBand="0" w:oddHBand="1" w:evenHBand="0" w:firstRowFirstColumn="0" w:firstRowLastColumn="0" w:lastRowFirstColumn="0" w:lastRowLastColumn="0"/>
            </w:pPr>
            <w:r w:rsidRPr="00F97A38">
              <w:t>Produkts vai tehnoloģija ir starpnozaru pētījuma rezultāts</w:t>
            </w:r>
          </w:p>
        </w:tc>
        <w:tc>
          <w:tcPr>
            <w:tcW w:w="0" w:type="auto"/>
            <w:noWrap/>
            <w:hideMark/>
          </w:tcPr>
          <w:p w14:paraId="51A22E9E" w14:textId="77777777" w:rsidR="00231A31" w:rsidRPr="00F97A38" w:rsidRDefault="00231A31" w:rsidP="00DE11E1">
            <w:pPr>
              <w:cnfStyle w:val="000000100000" w:firstRow="0" w:lastRow="0" w:firstColumn="0" w:lastColumn="0" w:oddVBand="0" w:evenVBand="0" w:oddHBand="1" w:evenHBand="0" w:firstRowFirstColumn="0" w:firstRowLastColumn="0" w:lastRowFirstColumn="0" w:lastRowLastColumn="0"/>
            </w:pPr>
            <w:r w:rsidRPr="00F97A38">
              <w:t>3</w:t>
            </w:r>
          </w:p>
        </w:tc>
        <w:tc>
          <w:tcPr>
            <w:tcW w:w="0" w:type="auto"/>
            <w:noWrap/>
            <w:hideMark/>
          </w:tcPr>
          <w:p w14:paraId="55E34C72" w14:textId="77777777" w:rsidR="00231A31" w:rsidRPr="00F97A38" w:rsidRDefault="00231A31" w:rsidP="00DE11E1">
            <w:pPr>
              <w:cnfStyle w:val="000000100000" w:firstRow="0" w:lastRow="0" w:firstColumn="0" w:lastColumn="0" w:oddVBand="0" w:evenVBand="0" w:oddHBand="1" w:evenHBand="0" w:firstRowFirstColumn="0" w:firstRowLastColumn="0" w:lastRowFirstColumn="0" w:lastRowLastColumn="0"/>
            </w:pPr>
            <w:r w:rsidRPr="00F97A38">
              <w:t>2.3.</w:t>
            </w:r>
          </w:p>
        </w:tc>
        <w:tc>
          <w:tcPr>
            <w:tcW w:w="0" w:type="auto"/>
            <w:hideMark/>
          </w:tcPr>
          <w:p w14:paraId="0BF8A495" w14:textId="77777777" w:rsidR="00231A31" w:rsidRPr="00F97A38" w:rsidRDefault="00231A31" w:rsidP="00DE11E1">
            <w:pPr>
              <w:cnfStyle w:val="000000100000" w:firstRow="0" w:lastRow="0" w:firstColumn="0" w:lastColumn="0" w:oddVBand="0" w:evenVBand="0" w:oddHBand="1" w:evenHBand="0" w:firstRowFirstColumn="0" w:firstRowLastColumn="0" w:lastRowFirstColumn="0" w:lastRowLastColumn="0"/>
            </w:pPr>
            <w:r w:rsidRPr="00F97A38">
              <w:t>Pieteiktā pētniecības projekta budžeta kopsumma sastāda 40%-60% no uzņēmuma 2 gadu vidējā apgrozījuma</w:t>
            </w:r>
          </w:p>
        </w:tc>
        <w:tc>
          <w:tcPr>
            <w:tcW w:w="0" w:type="auto"/>
            <w:noWrap/>
            <w:hideMark/>
          </w:tcPr>
          <w:p w14:paraId="5CCEA292" w14:textId="77777777" w:rsidR="00231A31" w:rsidRPr="00F97A38" w:rsidRDefault="00231A31" w:rsidP="00DE11E1">
            <w:pPr>
              <w:cnfStyle w:val="000000100000" w:firstRow="0" w:lastRow="0" w:firstColumn="0" w:lastColumn="0" w:oddVBand="0" w:evenVBand="0" w:oddHBand="1" w:evenHBand="0" w:firstRowFirstColumn="0" w:firstRowLastColumn="0" w:lastRowFirstColumn="0" w:lastRowLastColumn="0"/>
            </w:pPr>
            <w:r w:rsidRPr="00F97A38">
              <w:t>3</w:t>
            </w:r>
          </w:p>
        </w:tc>
      </w:tr>
      <w:tr w:rsidR="00FE267B" w:rsidRPr="00F97A38" w14:paraId="16C5C116" w14:textId="77777777" w:rsidTr="00F97A38">
        <w:trPr>
          <w:trHeight w:val="20"/>
        </w:trPr>
        <w:tc>
          <w:tcPr>
            <w:cnfStyle w:val="001000000000" w:firstRow="0" w:lastRow="0" w:firstColumn="1" w:lastColumn="0" w:oddVBand="0" w:evenVBand="0" w:oddHBand="0" w:evenHBand="0" w:firstRowFirstColumn="0" w:firstRowLastColumn="0" w:lastRowFirstColumn="0" w:lastRowLastColumn="0"/>
            <w:tcW w:w="0" w:type="auto"/>
            <w:noWrap/>
            <w:hideMark/>
          </w:tcPr>
          <w:p w14:paraId="6C27A067" w14:textId="77777777" w:rsidR="00231A31" w:rsidRPr="00F97A38" w:rsidRDefault="00231A31" w:rsidP="00DE11E1">
            <w:r w:rsidRPr="00F97A38">
              <w:t>1.4.</w:t>
            </w:r>
          </w:p>
        </w:tc>
        <w:tc>
          <w:tcPr>
            <w:tcW w:w="0" w:type="auto"/>
            <w:hideMark/>
          </w:tcPr>
          <w:p w14:paraId="474180A2" w14:textId="77777777" w:rsidR="00231A31" w:rsidRPr="00F97A38" w:rsidRDefault="00231A31" w:rsidP="00DE11E1">
            <w:pPr>
              <w:cnfStyle w:val="000000000000" w:firstRow="0" w:lastRow="0" w:firstColumn="0" w:lastColumn="0" w:oddVBand="0" w:evenVBand="0" w:oddHBand="0" w:evenHBand="0" w:firstRowFirstColumn="0" w:firstRowLastColumn="0" w:lastRowFirstColumn="0" w:lastRowLastColumn="0"/>
            </w:pPr>
            <w:r w:rsidRPr="00F97A38">
              <w:t>Produkts vai tehnoloģija ir uzņēmuma esošās produktu līnijas paplašinājums, nevis principiāli jauna izstrāde</w:t>
            </w:r>
          </w:p>
        </w:tc>
        <w:tc>
          <w:tcPr>
            <w:tcW w:w="0" w:type="auto"/>
            <w:noWrap/>
            <w:hideMark/>
          </w:tcPr>
          <w:p w14:paraId="36F0B260" w14:textId="77777777" w:rsidR="00231A31" w:rsidRPr="00F97A38" w:rsidRDefault="00231A31" w:rsidP="00DE11E1">
            <w:pPr>
              <w:cnfStyle w:val="000000000000" w:firstRow="0" w:lastRow="0" w:firstColumn="0" w:lastColumn="0" w:oddVBand="0" w:evenVBand="0" w:oddHBand="0" w:evenHBand="0" w:firstRowFirstColumn="0" w:firstRowLastColumn="0" w:lastRowFirstColumn="0" w:lastRowLastColumn="0"/>
            </w:pPr>
            <w:r w:rsidRPr="00F97A38">
              <w:t>2</w:t>
            </w:r>
          </w:p>
        </w:tc>
        <w:tc>
          <w:tcPr>
            <w:tcW w:w="0" w:type="auto"/>
            <w:noWrap/>
            <w:hideMark/>
          </w:tcPr>
          <w:p w14:paraId="4AF7D974" w14:textId="77777777" w:rsidR="00231A31" w:rsidRPr="00F97A38" w:rsidRDefault="00231A31" w:rsidP="00DE11E1">
            <w:pPr>
              <w:cnfStyle w:val="000000000000" w:firstRow="0" w:lastRow="0" w:firstColumn="0" w:lastColumn="0" w:oddVBand="0" w:evenVBand="0" w:oddHBand="0" w:evenHBand="0" w:firstRowFirstColumn="0" w:firstRowLastColumn="0" w:lastRowFirstColumn="0" w:lastRowLastColumn="0"/>
            </w:pPr>
            <w:r w:rsidRPr="00F97A38">
              <w:t>2.4.</w:t>
            </w:r>
          </w:p>
        </w:tc>
        <w:tc>
          <w:tcPr>
            <w:tcW w:w="0" w:type="auto"/>
            <w:hideMark/>
          </w:tcPr>
          <w:p w14:paraId="215E030C" w14:textId="77777777" w:rsidR="00231A31" w:rsidRPr="00F97A38" w:rsidRDefault="00231A31" w:rsidP="00DE11E1">
            <w:pPr>
              <w:cnfStyle w:val="000000000000" w:firstRow="0" w:lastRow="0" w:firstColumn="0" w:lastColumn="0" w:oddVBand="0" w:evenVBand="0" w:oddHBand="0" w:evenHBand="0" w:firstRowFirstColumn="0" w:firstRowLastColumn="0" w:lastRowFirstColumn="0" w:lastRowLastColumn="0"/>
            </w:pPr>
            <w:r w:rsidRPr="00F97A38">
              <w:t>Pieteiktā pētniecības projekta budžeta kopsumma sastāda 60%-100% no uzņēmuma 2 gadu vidējā apgrozījuma</w:t>
            </w:r>
          </w:p>
        </w:tc>
        <w:tc>
          <w:tcPr>
            <w:tcW w:w="0" w:type="auto"/>
            <w:noWrap/>
            <w:hideMark/>
          </w:tcPr>
          <w:p w14:paraId="2EA796E9" w14:textId="77777777" w:rsidR="00231A31" w:rsidRPr="00F97A38" w:rsidRDefault="00231A31" w:rsidP="00DE11E1">
            <w:pPr>
              <w:cnfStyle w:val="000000000000" w:firstRow="0" w:lastRow="0" w:firstColumn="0" w:lastColumn="0" w:oddVBand="0" w:evenVBand="0" w:oddHBand="0" w:evenHBand="0" w:firstRowFirstColumn="0" w:firstRowLastColumn="0" w:lastRowFirstColumn="0" w:lastRowLastColumn="0"/>
            </w:pPr>
            <w:r w:rsidRPr="00F97A38">
              <w:t>2</w:t>
            </w:r>
          </w:p>
        </w:tc>
      </w:tr>
      <w:tr w:rsidR="00FE267B" w:rsidRPr="00F97A38" w14:paraId="4D1DA4AC" w14:textId="77777777" w:rsidTr="00F97A3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noWrap/>
            <w:hideMark/>
          </w:tcPr>
          <w:p w14:paraId="57B662C9" w14:textId="77777777" w:rsidR="00231A31" w:rsidRPr="00F97A38" w:rsidRDefault="00231A31" w:rsidP="00DE11E1">
            <w:r w:rsidRPr="00F97A38">
              <w:t>1.5.</w:t>
            </w:r>
          </w:p>
        </w:tc>
        <w:tc>
          <w:tcPr>
            <w:tcW w:w="0" w:type="auto"/>
            <w:hideMark/>
          </w:tcPr>
          <w:p w14:paraId="0AF8AE23" w14:textId="77777777" w:rsidR="00231A31" w:rsidRPr="00F97A38" w:rsidRDefault="00231A31" w:rsidP="00DE11E1">
            <w:pPr>
              <w:cnfStyle w:val="000000100000" w:firstRow="0" w:lastRow="0" w:firstColumn="0" w:lastColumn="0" w:oddVBand="0" w:evenVBand="0" w:oddHBand="1" w:evenHBand="0" w:firstRowFirstColumn="0" w:firstRowLastColumn="0" w:lastRowFirstColumn="0" w:lastRowLastColumn="0"/>
            </w:pPr>
            <w:r w:rsidRPr="00F97A38">
              <w:t> Produkts vai tehnoloģija ir uzņēmuma esošās produktu līnijas vai atsevišķa produkta izstrādes atkārtojums, piemēram nomainot ražošanas vietu/iekārtu vai izejvielu piegādātāju</w:t>
            </w:r>
          </w:p>
        </w:tc>
        <w:tc>
          <w:tcPr>
            <w:tcW w:w="0" w:type="auto"/>
            <w:noWrap/>
            <w:hideMark/>
          </w:tcPr>
          <w:p w14:paraId="013D2486" w14:textId="77777777" w:rsidR="00231A31" w:rsidRPr="00F97A38" w:rsidRDefault="00231A31" w:rsidP="00DE11E1">
            <w:pPr>
              <w:cnfStyle w:val="000000100000" w:firstRow="0" w:lastRow="0" w:firstColumn="0" w:lastColumn="0" w:oddVBand="0" w:evenVBand="0" w:oddHBand="1" w:evenHBand="0" w:firstRowFirstColumn="0" w:firstRowLastColumn="0" w:lastRowFirstColumn="0" w:lastRowLastColumn="0"/>
            </w:pPr>
            <w:r w:rsidRPr="00F97A38">
              <w:t>1</w:t>
            </w:r>
          </w:p>
        </w:tc>
        <w:tc>
          <w:tcPr>
            <w:tcW w:w="0" w:type="auto"/>
            <w:noWrap/>
            <w:hideMark/>
          </w:tcPr>
          <w:p w14:paraId="21AED7D0" w14:textId="77777777" w:rsidR="00231A31" w:rsidRPr="00F97A38" w:rsidRDefault="00231A31" w:rsidP="00DE11E1">
            <w:pPr>
              <w:cnfStyle w:val="000000100000" w:firstRow="0" w:lastRow="0" w:firstColumn="0" w:lastColumn="0" w:oddVBand="0" w:evenVBand="0" w:oddHBand="1" w:evenHBand="0" w:firstRowFirstColumn="0" w:firstRowLastColumn="0" w:lastRowFirstColumn="0" w:lastRowLastColumn="0"/>
            </w:pPr>
            <w:r w:rsidRPr="00F97A38">
              <w:t>2.5.</w:t>
            </w:r>
          </w:p>
        </w:tc>
        <w:tc>
          <w:tcPr>
            <w:tcW w:w="0" w:type="auto"/>
            <w:hideMark/>
          </w:tcPr>
          <w:p w14:paraId="4B9A03B4" w14:textId="77777777" w:rsidR="00231A31" w:rsidRPr="00F97A38" w:rsidRDefault="00231A31" w:rsidP="00DE11E1">
            <w:pPr>
              <w:cnfStyle w:val="000000100000" w:firstRow="0" w:lastRow="0" w:firstColumn="0" w:lastColumn="0" w:oddVBand="0" w:evenVBand="0" w:oddHBand="1" w:evenHBand="0" w:firstRowFirstColumn="0" w:firstRowLastColumn="0" w:lastRowFirstColumn="0" w:lastRowLastColumn="0"/>
            </w:pPr>
            <w:r w:rsidRPr="00F97A38">
              <w:t>Pieteiktā pētniecības projekta budžeta kopsumma sastāda &gt;100% no uzņēmuma 2 gadu vidējā apgrozījuma</w:t>
            </w:r>
          </w:p>
        </w:tc>
        <w:tc>
          <w:tcPr>
            <w:tcW w:w="0" w:type="auto"/>
            <w:noWrap/>
            <w:hideMark/>
          </w:tcPr>
          <w:p w14:paraId="6E8CFE1F" w14:textId="77777777" w:rsidR="00231A31" w:rsidRPr="00F97A38" w:rsidRDefault="00231A31" w:rsidP="00DE11E1">
            <w:pPr>
              <w:cnfStyle w:val="000000100000" w:firstRow="0" w:lastRow="0" w:firstColumn="0" w:lastColumn="0" w:oddVBand="0" w:evenVBand="0" w:oddHBand="1" w:evenHBand="0" w:firstRowFirstColumn="0" w:firstRowLastColumn="0" w:lastRowFirstColumn="0" w:lastRowLastColumn="0"/>
            </w:pPr>
            <w:r w:rsidRPr="00F97A38">
              <w:t>1</w:t>
            </w:r>
          </w:p>
        </w:tc>
      </w:tr>
    </w:tbl>
    <w:p w14:paraId="6FCCE4CC" w14:textId="77777777" w:rsidR="006A1967" w:rsidRPr="007B4A2E" w:rsidRDefault="006A1967" w:rsidP="006A1967"/>
    <w:p w14:paraId="227262F1" w14:textId="2517E98A" w:rsidR="006A1967" w:rsidRDefault="006A1967" w:rsidP="002319D2">
      <w:pPr>
        <w:pStyle w:val="Heading5"/>
        <w:rPr>
          <w:iCs/>
          <w:lang w:eastAsia="lv-LV"/>
        </w:rPr>
      </w:pPr>
      <w:r w:rsidRPr="007B4A2E">
        <w:rPr>
          <w:lang w:eastAsia="lv-LV"/>
        </w:rPr>
        <w:t xml:space="preserve">Pētījuma </w:t>
      </w:r>
      <w:r w:rsidRPr="002319D2">
        <w:rPr>
          <w:iCs/>
          <w:lang w:eastAsia="lv-LV"/>
        </w:rPr>
        <w:t>ietekme</w:t>
      </w:r>
    </w:p>
    <w:p w14:paraId="45D28600" w14:textId="77777777" w:rsidR="009553C0" w:rsidRPr="008A3C56" w:rsidRDefault="009553C0" w:rsidP="009553C0">
      <w:pPr>
        <w:rPr>
          <w:rFonts w:cstheme="minorHAnsi"/>
        </w:rPr>
      </w:pPr>
      <w:r w:rsidRPr="008A3C56">
        <w:rPr>
          <w:rFonts w:cstheme="minorHAnsi"/>
        </w:rPr>
        <w:t>Pētījuma ietekmes vērtējums (Vērtē 1-5 punktu skalā; kritērijā jāsaņem vismaz 2 punkti):</w:t>
      </w:r>
    </w:p>
    <w:tbl>
      <w:tblPr>
        <w:tblStyle w:val="GridTable3-Accent1"/>
        <w:tblW w:w="0" w:type="auto"/>
        <w:tblLook w:val="04A0" w:firstRow="1" w:lastRow="0" w:firstColumn="1" w:lastColumn="0" w:noHBand="0" w:noVBand="1"/>
      </w:tblPr>
      <w:tblGrid>
        <w:gridCol w:w="661"/>
        <w:gridCol w:w="2687"/>
        <w:gridCol w:w="828"/>
        <w:gridCol w:w="665"/>
        <w:gridCol w:w="2643"/>
        <w:gridCol w:w="828"/>
      </w:tblGrid>
      <w:tr w:rsidR="00FE267B" w:rsidRPr="001C436D" w14:paraId="237A11EA" w14:textId="77777777" w:rsidTr="001C436D">
        <w:trPr>
          <w:cnfStyle w:val="100000000000" w:firstRow="1" w:lastRow="0" w:firstColumn="0" w:lastColumn="0" w:oddVBand="0" w:evenVBand="0" w:oddHBand="0" w:evenHBand="0" w:firstRowFirstColumn="0" w:firstRowLastColumn="0" w:lastRowFirstColumn="0" w:lastRowLastColumn="0"/>
          <w:trHeight w:val="900"/>
        </w:trPr>
        <w:tc>
          <w:tcPr>
            <w:cnfStyle w:val="001000000100" w:firstRow="0" w:lastRow="0" w:firstColumn="1" w:lastColumn="0" w:oddVBand="0" w:evenVBand="0" w:oddHBand="0" w:evenHBand="0" w:firstRowFirstColumn="1" w:firstRowLastColumn="0" w:lastRowFirstColumn="0" w:lastRowLastColumn="0"/>
            <w:tcW w:w="0" w:type="auto"/>
            <w:noWrap/>
            <w:hideMark/>
          </w:tcPr>
          <w:p w14:paraId="55720548" w14:textId="77777777" w:rsidR="001C436D" w:rsidRPr="002319D2" w:rsidRDefault="001C436D" w:rsidP="00DE11E1">
            <w:pPr>
              <w:rPr>
                <w:b w:val="0"/>
                <w:bCs w:val="0"/>
              </w:rPr>
            </w:pPr>
            <w:r w:rsidRPr="001C436D">
              <w:t>Npk.</w:t>
            </w:r>
          </w:p>
        </w:tc>
        <w:tc>
          <w:tcPr>
            <w:tcW w:w="0" w:type="auto"/>
            <w:noWrap/>
            <w:hideMark/>
          </w:tcPr>
          <w:p w14:paraId="124171A0" w14:textId="77777777" w:rsidR="001C436D" w:rsidRPr="002319D2" w:rsidRDefault="001C436D" w:rsidP="00DE11E1">
            <w:pPr>
              <w:cnfStyle w:val="100000000000" w:firstRow="1" w:lastRow="0" w:firstColumn="0" w:lastColumn="0" w:oddVBand="0" w:evenVBand="0" w:oddHBand="0" w:evenHBand="0" w:firstRowFirstColumn="0" w:firstRowLastColumn="0" w:lastRowFirstColumn="0" w:lastRowLastColumn="0"/>
              <w:rPr>
                <w:b w:val="0"/>
                <w:bCs w:val="0"/>
              </w:rPr>
            </w:pPr>
            <w:r w:rsidRPr="001C436D">
              <w:t>Izmaksu attiecināmība</w:t>
            </w:r>
          </w:p>
        </w:tc>
        <w:tc>
          <w:tcPr>
            <w:tcW w:w="0" w:type="auto"/>
            <w:noWrap/>
            <w:hideMark/>
          </w:tcPr>
          <w:p w14:paraId="73B0D220" w14:textId="77777777" w:rsidR="001C436D" w:rsidRPr="002319D2" w:rsidRDefault="001C436D" w:rsidP="00DE11E1">
            <w:pPr>
              <w:cnfStyle w:val="100000000000" w:firstRow="1" w:lastRow="0" w:firstColumn="0" w:lastColumn="0" w:oddVBand="0" w:evenVBand="0" w:oddHBand="0" w:evenHBand="0" w:firstRowFirstColumn="0" w:firstRowLastColumn="0" w:lastRowFirstColumn="0" w:lastRowLastColumn="0"/>
              <w:rPr>
                <w:b w:val="0"/>
                <w:bCs w:val="0"/>
              </w:rPr>
            </w:pPr>
            <w:r w:rsidRPr="001C436D">
              <w:t>Punkti</w:t>
            </w:r>
          </w:p>
        </w:tc>
        <w:tc>
          <w:tcPr>
            <w:tcW w:w="0" w:type="auto"/>
            <w:noWrap/>
            <w:hideMark/>
          </w:tcPr>
          <w:p w14:paraId="617A0F02" w14:textId="77777777" w:rsidR="001C436D" w:rsidRPr="002319D2" w:rsidRDefault="001C436D" w:rsidP="00DE11E1">
            <w:pPr>
              <w:cnfStyle w:val="100000000000" w:firstRow="1" w:lastRow="0" w:firstColumn="0" w:lastColumn="0" w:oddVBand="0" w:evenVBand="0" w:oddHBand="0" w:evenHBand="0" w:firstRowFirstColumn="0" w:firstRowLastColumn="0" w:lastRowFirstColumn="0" w:lastRowLastColumn="0"/>
              <w:rPr>
                <w:b w:val="0"/>
                <w:bCs w:val="0"/>
              </w:rPr>
            </w:pPr>
            <w:r w:rsidRPr="001C436D">
              <w:t>Npk.</w:t>
            </w:r>
          </w:p>
        </w:tc>
        <w:tc>
          <w:tcPr>
            <w:tcW w:w="0" w:type="auto"/>
            <w:noWrap/>
            <w:hideMark/>
          </w:tcPr>
          <w:p w14:paraId="229EA375" w14:textId="77777777" w:rsidR="001C436D" w:rsidRPr="002319D2" w:rsidRDefault="001C436D" w:rsidP="00DE11E1">
            <w:pPr>
              <w:cnfStyle w:val="100000000000" w:firstRow="1" w:lastRow="0" w:firstColumn="0" w:lastColumn="0" w:oddVBand="0" w:evenVBand="0" w:oddHBand="0" w:evenHBand="0" w:firstRowFirstColumn="0" w:firstRowLastColumn="0" w:lastRowFirstColumn="0" w:lastRowLastColumn="0"/>
              <w:rPr>
                <w:b w:val="0"/>
                <w:bCs w:val="0"/>
              </w:rPr>
            </w:pPr>
            <w:r w:rsidRPr="001C436D">
              <w:t>Eksportspējas potenciāls</w:t>
            </w:r>
          </w:p>
        </w:tc>
        <w:tc>
          <w:tcPr>
            <w:tcW w:w="0" w:type="auto"/>
            <w:noWrap/>
            <w:hideMark/>
          </w:tcPr>
          <w:p w14:paraId="3AF19047" w14:textId="77777777" w:rsidR="001C436D" w:rsidRPr="002319D2" w:rsidRDefault="001C436D" w:rsidP="00DE11E1">
            <w:pPr>
              <w:cnfStyle w:val="100000000000" w:firstRow="1" w:lastRow="0" w:firstColumn="0" w:lastColumn="0" w:oddVBand="0" w:evenVBand="0" w:oddHBand="0" w:evenHBand="0" w:firstRowFirstColumn="0" w:firstRowLastColumn="0" w:lastRowFirstColumn="0" w:lastRowLastColumn="0"/>
              <w:rPr>
                <w:b w:val="0"/>
                <w:bCs w:val="0"/>
              </w:rPr>
            </w:pPr>
            <w:r w:rsidRPr="001C436D">
              <w:t>Punkti</w:t>
            </w:r>
          </w:p>
        </w:tc>
      </w:tr>
      <w:tr w:rsidR="00FE267B" w:rsidRPr="002A441E" w14:paraId="4C6B045D" w14:textId="77777777" w:rsidTr="001C436D">
        <w:trPr>
          <w:cnfStyle w:val="000000100000" w:firstRow="0" w:lastRow="0" w:firstColumn="0" w:lastColumn="0" w:oddVBand="0" w:evenVBand="0" w:oddHBand="1" w:evenHBand="0" w:firstRowFirstColumn="0" w:firstRowLastColumn="0" w:lastRowFirstColumn="0" w:lastRowLastColumn="0"/>
          <w:trHeight w:val="2700"/>
        </w:trPr>
        <w:tc>
          <w:tcPr>
            <w:cnfStyle w:val="001000000000" w:firstRow="0" w:lastRow="0" w:firstColumn="1" w:lastColumn="0" w:oddVBand="0" w:evenVBand="0" w:oddHBand="0" w:evenHBand="0" w:firstRowFirstColumn="0" w:firstRowLastColumn="0" w:lastRowFirstColumn="0" w:lastRowLastColumn="0"/>
            <w:tcW w:w="0" w:type="auto"/>
            <w:noWrap/>
            <w:hideMark/>
          </w:tcPr>
          <w:p w14:paraId="7D1BDE32" w14:textId="77777777" w:rsidR="001C436D" w:rsidRPr="002A441E" w:rsidRDefault="001C436D" w:rsidP="00DE11E1">
            <w:r w:rsidRPr="002A441E">
              <w:lastRenderedPageBreak/>
              <w:t>3.1.</w:t>
            </w:r>
          </w:p>
        </w:tc>
        <w:tc>
          <w:tcPr>
            <w:tcW w:w="0" w:type="auto"/>
            <w:hideMark/>
          </w:tcPr>
          <w:p w14:paraId="312811C9" w14:textId="77777777" w:rsidR="001C436D" w:rsidRPr="002A441E" w:rsidRDefault="001C436D" w:rsidP="00DE11E1">
            <w:pPr>
              <w:cnfStyle w:val="000000100000" w:firstRow="0" w:lastRow="0" w:firstColumn="0" w:lastColumn="0" w:oddVBand="0" w:evenVBand="0" w:oddHBand="1" w:evenHBand="0" w:firstRowFirstColumn="0" w:firstRowLastColumn="0" w:lastRowFirstColumn="0" w:lastRowLastColumn="0"/>
            </w:pPr>
            <w:r w:rsidRPr="002A441E">
              <w:t>KC Sadarbības partnerim pieder sava pētnieciskā vai tehnoloģiskā laboratorija, tajās tiek plānots veikt projekta pētnieciskos darbus un trūkstošās kompetences projektā ir paredzēts pasūtīt kā ārkalpojumu no zinātniskajām institūcijām, taču ne vairāk kā 50% no projekta kopbudžeta</w:t>
            </w:r>
          </w:p>
        </w:tc>
        <w:tc>
          <w:tcPr>
            <w:tcW w:w="0" w:type="auto"/>
            <w:noWrap/>
            <w:hideMark/>
          </w:tcPr>
          <w:p w14:paraId="693F1BF7" w14:textId="77777777" w:rsidR="001C436D" w:rsidRPr="002A441E" w:rsidRDefault="001C436D" w:rsidP="00DE11E1">
            <w:pPr>
              <w:cnfStyle w:val="000000100000" w:firstRow="0" w:lastRow="0" w:firstColumn="0" w:lastColumn="0" w:oddVBand="0" w:evenVBand="0" w:oddHBand="1" w:evenHBand="0" w:firstRowFirstColumn="0" w:firstRowLastColumn="0" w:lastRowFirstColumn="0" w:lastRowLastColumn="0"/>
            </w:pPr>
            <w:r w:rsidRPr="002A441E">
              <w:t>5</w:t>
            </w:r>
          </w:p>
        </w:tc>
        <w:tc>
          <w:tcPr>
            <w:tcW w:w="0" w:type="auto"/>
            <w:noWrap/>
            <w:hideMark/>
          </w:tcPr>
          <w:p w14:paraId="3520CBAA" w14:textId="77777777" w:rsidR="001C436D" w:rsidRPr="002A441E" w:rsidRDefault="001C436D" w:rsidP="00DE11E1">
            <w:pPr>
              <w:cnfStyle w:val="000000100000" w:firstRow="0" w:lastRow="0" w:firstColumn="0" w:lastColumn="0" w:oddVBand="0" w:evenVBand="0" w:oddHBand="1" w:evenHBand="0" w:firstRowFirstColumn="0" w:firstRowLastColumn="0" w:lastRowFirstColumn="0" w:lastRowLastColumn="0"/>
            </w:pPr>
            <w:r w:rsidRPr="002A441E">
              <w:t>4.1.</w:t>
            </w:r>
          </w:p>
        </w:tc>
        <w:tc>
          <w:tcPr>
            <w:tcW w:w="0" w:type="auto"/>
            <w:hideMark/>
          </w:tcPr>
          <w:p w14:paraId="4632190A" w14:textId="77777777" w:rsidR="001C436D" w:rsidRPr="002A441E" w:rsidRDefault="001C436D" w:rsidP="00DE11E1">
            <w:pPr>
              <w:cnfStyle w:val="000000100000" w:firstRow="0" w:lastRow="0" w:firstColumn="0" w:lastColumn="0" w:oddVBand="0" w:evenVBand="0" w:oddHBand="1" w:evenHBand="0" w:firstRowFirstColumn="0" w:firstRowLastColumn="0" w:lastRowFirstColumn="0" w:lastRowLastColumn="0"/>
            </w:pPr>
            <w:r w:rsidRPr="002A441E">
              <w:t>Sadarbības partnera pēdējo 2 gadu auditēto gada pārskatu eksports vidēji  sastāda vairāk nekā 2'000'000 EUR gadā</w:t>
            </w:r>
          </w:p>
        </w:tc>
        <w:tc>
          <w:tcPr>
            <w:tcW w:w="0" w:type="auto"/>
            <w:noWrap/>
            <w:hideMark/>
          </w:tcPr>
          <w:p w14:paraId="0AF77E23" w14:textId="77777777" w:rsidR="001C436D" w:rsidRPr="002A441E" w:rsidRDefault="001C436D" w:rsidP="00DE11E1">
            <w:pPr>
              <w:cnfStyle w:val="000000100000" w:firstRow="0" w:lastRow="0" w:firstColumn="0" w:lastColumn="0" w:oddVBand="0" w:evenVBand="0" w:oddHBand="1" w:evenHBand="0" w:firstRowFirstColumn="0" w:firstRowLastColumn="0" w:lastRowFirstColumn="0" w:lastRowLastColumn="0"/>
            </w:pPr>
            <w:r w:rsidRPr="002A441E">
              <w:t>5</w:t>
            </w:r>
          </w:p>
        </w:tc>
      </w:tr>
      <w:tr w:rsidR="00FE267B" w:rsidRPr="002A441E" w14:paraId="7C8F6656" w14:textId="77777777" w:rsidTr="001C436D">
        <w:trPr>
          <w:trHeight w:val="3000"/>
        </w:trPr>
        <w:tc>
          <w:tcPr>
            <w:cnfStyle w:val="001000000000" w:firstRow="0" w:lastRow="0" w:firstColumn="1" w:lastColumn="0" w:oddVBand="0" w:evenVBand="0" w:oddHBand="0" w:evenHBand="0" w:firstRowFirstColumn="0" w:firstRowLastColumn="0" w:lastRowFirstColumn="0" w:lastRowLastColumn="0"/>
            <w:tcW w:w="0" w:type="auto"/>
            <w:noWrap/>
            <w:hideMark/>
          </w:tcPr>
          <w:p w14:paraId="6F6D1206" w14:textId="77777777" w:rsidR="001C436D" w:rsidRPr="002A441E" w:rsidRDefault="001C436D" w:rsidP="00DE11E1">
            <w:r w:rsidRPr="002A441E">
              <w:t>3.2.</w:t>
            </w:r>
          </w:p>
        </w:tc>
        <w:tc>
          <w:tcPr>
            <w:tcW w:w="0" w:type="auto"/>
            <w:hideMark/>
          </w:tcPr>
          <w:p w14:paraId="46596657" w14:textId="77777777" w:rsidR="001C436D" w:rsidRPr="002A441E" w:rsidRDefault="001C436D" w:rsidP="00DE11E1">
            <w:pPr>
              <w:cnfStyle w:val="000000000000" w:firstRow="0" w:lastRow="0" w:firstColumn="0" w:lastColumn="0" w:oddVBand="0" w:evenVBand="0" w:oddHBand="0" w:evenHBand="0" w:firstRowFirstColumn="0" w:firstRowLastColumn="0" w:lastRowFirstColumn="0" w:lastRowLastColumn="0"/>
            </w:pPr>
            <w:r w:rsidRPr="002A441E">
              <w:t>KC Sadarbības partnerim pieder sava pētnieciskā vai tehnoloģiskā laboratorija, tajās tiek plānots veikt projekta pētnieciskos darbus. Zinātnisko institūciju kapacitāti nav plānots izmantot.</w:t>
            </w:r>
          </w:p>
        </w:tc>
        <w:tc>
          <w:tcPr>
            <w:tcW w:w="0" w:type="auto"/>
            <w:noWrap/>
            <w:hideMark/>
          </w:tcPr>
          <w:p w14:paraId="6EB802AD" w14:textId="77777777" w:rsidR="001C436D" w:rsidRPr="002A441E" w:rsidRDefault="001C436D" w:rsidP="00DE11E1">
            <w:pPr>
              <w:cnfStyle w:val="000000000000" w:firstRow="0" w:lastRow="0" w:firstColumn="0" w:lastColumn="0" w:oddVBand="0" w:evenVBand="0" w:oddHBand="0" w:evenHBand="0" w:firstRowFirstColumn="0" w:firstRowLastColumn="0" w:lastRowFirstColumn="0" w:lastRowLastColumn="0"/>
            </w:pPr>
            <w:r w:rsidRPr="002A441E">
              <w:t>4</w:t>
            </w:r>
          </w:p>
        </w:tc>
        <w:tc>
          <w:tcPr>
            <w:tcW w:w="0" w:type="auto"/>
            <w:noWrap/>
            <w:hideMark/>
          </w:tcPr>
          <w:p w14:paraId="244B9658" w14:textId="77777777" w:rsidR="001C436D" w:rsidRPr="002A441E" w:rsidRDefault="001C436D" w:rsidP="00DE11E1">
            <w:pPr>
              <w:cnfStyle w:val="000000000000" w:firstRow="0" w:lastRow="0" w:firstColumn="0" w:lastColumn="0" w:oddVBand="0" w:evenVBand="0" w:oddHBand="0" w:evenHBand="0" w:firstRowFirstColumn="0" w:firstRowLastColumn="0" w:lastRowFirstColumn="0" w:lastRowLastColumn="0"/>
            </w:pPr>
            <w:r w:rsidRPr="002A441E">
              <w:t>4.2.</w:t>
            </w:r>
          </w:p>
        </w:tc>
        <w:tc>
          <w:tcPr>
            <w:tcW w:w="0" w:type="auto"/>
            <w:hideMark/>
          </w:tcPr>
          <w:p w14:paraId="02D36C3D" w14:textId="77777777" w:rsidR="001C436D" w:rsidRPr="002A441E" w:rsidRDefault="001C436D" w:rsidP="00DE11E1">
            <w:pPr>
              <w:cnfStyle w:val="000000000000" w:firstRow="0" w:lastRow="0" w:firstColumn="0" w:lastColumn="0" w:oddVBand="0" w:evenVBand="0" w:oddHBand="0" w:evenHBand="0" w:firstRowFirstColumn="0" w:firstRowLastColumn="0" w:lastRowFirstColumn="0" w:lastRowLastColumn="0"/>
            </w:pPr>
            <w:r w:rsidRPr="002A441E">
              <w:t>Sadarbības partnera pēdējo 2 gadu auditēto gada pārskatu eksports vidēji  sastāda vairāk no 1'000'000 līdz 2'000'000 EUR gadā</w:t>
            </w:r>
          </w:p>
        </w:tc>
        <w:tc>
          <w:tcPr>
            <w:tcW w:w="0" w:type="auto"/>
            <w:noWrap/>
            <w:hideMark/>
          </w:tcPr>
          <w:p w14:paraId="03EC1178" w14:textId="77777777" w:rsidR="001C436D" w:rsidRPr="002A441E" w:rsidRDefault="001C436D" w:rsidP="00DE11E1">
            <w:pPr>
              <w:cnfStyle w:val="000000000000" w:firstRow="0" w:lastRow="0" w:firstColumn="0" w:lastColumn="0" w:oddVBand="0" w:evenVBand="0" w:oddHBand="0" w:evenHBand="0" w:firstRowFirstColumn="0" w:firstRowLastColumn="0" w:lastRowFirstColumn="0" w:lastRowLastColumn="0"/>
            </w:pPr>
            <w:r w:rsidRPr="002A441E">
              <w:t>4</w:t>
            </w:r>
          </w:p>
        </w:tc>
      </w:tr>
      <w:tr w:rsidR="00FE267B" w:rsidRPr="002A441E" w14:paraId="5C0A69AD" w14:textId="77777777" w:rsidTr="001C436D">
        <w:trPr>
          <w:cnfStyle w:val="000000100000" w:firstRow="0" w:lastRow="0" w:firstColumn="0" w:lastColumn="0" w:oddVBand="0" w:evenVBand="0" w:oddHBand="1" w:evenHBand="0" w:firstRowFirstColumn="0" w:firstRowLastColumn="0" w:lastRowFirstColumn="0" w:lastRowLastColumn="0"/>
          <w:trHeight w:val="2592"/>
        </w:trPr>
        <w:tc>
          <w:tcPr>
            <w:cnfStyle w:val="001000000000" w:firstRow="0" w:lastRow="0" w:firstColumn="1" w:lastColumn="0" w:oddVBand="0" w:evenVBand="0" w:oddHBand="0" w:evenHBand="0" w:firstRowFirstColumn="0" w:firstRowLastColumn="0" w:lastRowFirstColumn="0" w:lastRowLastColumn="0"/>
            <w:tcW w:w="0" w:type="auto"/>
            <w:noWrap/>
            <w:hideMark/>
          </w:tcPr>
          <w:p w14:paraId="0C526706" w14:textId="77777777" w:rsidR="001C436D" w:rsidRPr="002A441E" w:rsidRDefault="001C436D" w:rsidP="00DE11E1">
            <w:r w:rsidRPr="002A441E">
              <w:t>3.3.</w:t>
            </w:r>
          </w:p>
        </w:tc>
        <w:tc>
          <w:tcPr>
            <w:tcW w:w="0" w:type="auto"/>
            <w:hideMark/>
          </w:tcPr>
          <w:p w14:paraId="5046FC3A" w14:textId="77777777" w:rsidR="001C436D" w:rsidRPr="002A441E" w:rsidRDefault="001C436D" w:rsidP="00DE11E1">
            <w:pPr>
              <w:cnfStyle w:val="000000100000" w:firstRow="0" w:lastRow="0" w:firstColumn="0" w:lastColumn="0" w:oddVBand="0" w:evenVBand="0" w:oddHBand="1" w:evenHBand="0" w:firstRowFirstColumn="0" w:firstRowLastColumn="0" w:lastRowFirstColumn="0" w:lastRowLastColumn="0"/>
            </w:pPr>
            <w:r w:rsidRPr="002A441E">
              <w:t>KC Sadarbības partneris plāno pētniecisko projektu galvenokārt organizēt ar pētniecisko ārpakalpojumu palīdzību zinātniskajās institūcijās vai specializētās pētniecības firmās, to īpatsvars sastāda 50 - 90% no pētnieciskā projekta kopbudžeta</w:t>
            </w:r>
          </w:p>
        </w:tc>
        <w:tc>
          <w:tcPr>
            <w:tcW w:w="0" w:type="auto"/>
            <w:noWrap/>
            <w:hideMark/>
          </w:tcPr>
          <w:p w14:paraId="4E471140" w14:textId="77777777" w:rsidR="001C436D" w:rsidRPr="002A441E" w:rsidRDefault="001C436D" w:rsidP="00DE11E1">
            <w:pPr>
              <w:cnfStyle w:val="000000100000" w:firstRow="0" w:lastRow="0" w:firstColumn="0" w:lastColumn="0" w:oddVBand="0" w:evenVBand="0" w:oddHBand="1" w:evenHBand="0" w:firstRowFirstColumn="0" w:firstRowLastColumn="0" w:lastRowFirstColumn="0" w:lastRowLastColumn="0"/>
            </w:pPr>
            <w:r w:rsidRPr="002A441E">
              <w:t>3</w:t>
            </w:r>
          </w:p>
        </w:tc>
        <w:tc>
          <w:tcPr>
            <w:tcW w:w="0" w:type="auto"/>
            <w:noWrap/>
            <w:hideMark/>
          </w:tcPr>
          <w:p w14:paraId="176DB40C" w14:textId="77777777" w:rsidR="001C436D" w:rsidRPr="002A441E" w:rsidRDefault="001C436D" w:rsidP="00DE11E1">
            <w:pPr>
              <w:cnfStyle w:val="000000100000" w:firstRow="0" w:lastRow="0" w:firstColumn="0" w:lastColumn="0" w:oddVBand="0" w:evenVBand="0" w:oddHBand="1" w:evenHBand="0" w:firstRowFirstColumn="0" w:firstRowLastColumn="0" w:lastRowFirstColumn="0" w:lastRowLastColumn="0"/>
            </w:pPr>
            <w:r w:rsidRPr="002A441E">
              <w:t>4.3.</w:t>
            </w:r>
          </w:p>
        </w:tc>
        <w:tc>
          <w:tcPr>
            <w:tcW w:w="0" w:type="auto"/>
            <w:hideMark/>
          </w:tcPr>
          <w:p w14:paraId="66A0E422" w14:textId="77777777" w:rsidR="001C436D" w:rsidRPr="002A441E" w:rsidRDefault="001C436D" w:rsidP="00DE11E1">
            <w:pPr>
              <w:cnfStyle w:val="000000100000" w:firstRow="0" w:lastRow="0" w:firstColumn="0" w:lastColumn="0" w:oddVBand="0" w:evenVBand="0" w:oddHBand="1" w:evenHBand="0" w:firstRowFirstColumn="0" w:firstRowLastColumn="0" w:lastRowFirstColumn="0" w:lastRowLastColumn="0"/>
            </w:pPr>
            <w:r w:rsidRPr="002A441E">
              <w:t>Sadarbības partnera pēdējo 2 gadu auditēto gada pārskatu eksports vidēji  sastāda vairāk starp 200'000 līdz 1'000'000 EUR gadā</w:t>
            </w:r>
          </w:p>
        </w:tc>
        <w:tc>
          <w:tcPr>
            <w:tcW w:w="0" w:type="auto"/>
            <w:noWrap/>
            <w:hideMark/>
          </w:tcPr>
          <w:p w14:paraId="455CD9E6" w14:textId="77777777" w:rsidR="001C436D" w:rsidRPr="002A441E" w:rsidRDefault="001C436D" w:rsidP="00DE11E1">
            <w:pPr>
              <w:cnfStyle w:val="000000100000" w:firstRow="0" w:lastRow="0" w:firstColumn="0" w:lastColumn="0" w:oddVBand="0" w:evenVBand="0" w:oddHBand="1" w:evenHBand="0" w:firstRowFirstColumn="0" w:firstRowLastColumn="0" w:lastRowFirstColumn="0" w:lastRowLastColumn="0"/>
            </w:pPr>
            <w:r w:rsidRPr="002A441E">
              <w:t>3</w:t>
            </w:r>
          </w:p>
        </w:tc>
      </w:tr>
      <w:tr w:rsidR="00FE267B" w:rsidRPr="002A441E" w14:paraId="084C57F5" w14:textId="77777777" w:rsidTr="001C436D">
        <w:trPr>
          <w:trHeight w:val="2678"/>
        </w:trPr>
        <w:tc>
          <w:tcPr>
            <w:cnfStyle w:val="001000000000" w:firstRow="0" w:lastRow="0" w:firstColumn="1" w:lastColumn="0" w:oddVBand="0" w:evenVBand="0" w:oddHBand="0" w:evenHBand="0" w:firstRowFirstColumn="0" w:firstRowLastColumn="0" w:lastRowFirstColumn="0" w:lastRowLastColumn="0"/>
            <w:tcW w:w="0" w:type="auto"/>
            <w:noWrap/>
            <w:hideMark/>
          </w:tcPr>
          <w:p w14:paraId="67E41F97" w14:textId="77777777" w:rsidR="001C436D" w:rsidRPr="002A441E" w:rsidRDefault="001C436D" w:rsidP="00DE11E1">
            <w:r w:rsidRPr="002A441E">
              <w:t>3.4.</w:t>
            </w:r>
          </w:p>
        </w:tc>
        <w:tc>
          <w:tcPr>
            <w:tcW w:w="0" w:type="auto"/>
            <w:hideMark/>
          </w:tcPr>
          <w:p w14:paraId="359CC7E3" w14:textId="77777777" w:rsidR="001C436D" w:rsidRPr="002A441E" w:rsidRDefault="001C436D" w:rsidP="00DE11E1">
            <w:pPr>
              <w:cnfStyle w:val="000000000000" w:firstRow="0" w:lastRow="0" w:firstColumn="0" w:lastColumn="0" w:oddVBand="0" w:evenVBand="0" w:oddHBand="0" w:evenHBand="0" w:firstRowFirstColumn="0" w:firstRowLastColumn="0" w:lastRowFirstColumn="0" w:lastRowLastColumn="0"/>
            </w:pPr>
            <w:r w:rsidRPr="002A441E">
              <w:t>KC Sadarbības partneris plāno pētniecisko projektam piesaistīt pastāvīgā darbā pētniekus, kā arī organizēt pētnieciskos ārpakalpojumu iepirkumus. Uz pētniecības projekta pieteikuma iesniegšanas brīdi Sadarbības partnerim nav pieejams P&amp;A personāls pietiekamā skaitā, vai P&amp;A darba vietu skaits nav atšifrēts</w:t>
            </w:r>
          </w:p>
        </w:tc>
        <w:tc>
          <w:tcPr>
            <w:tcW w:w="0" w:type="auto"/>
            <w:noWrap/>
            <w:hideMark/>
          </w:tcPr>
          <w:p w14:paraId="5AAD15BF" w14:textId="77777777" w:rsidR="001C436D" w:rsidRPr="002A441E" w:rsidRDefault="001C436D" w:rsidP="00DE11E1">
            <w:pPr>
              <w:cnfStyle w:val="000000000000" w:firstRow="0" w:lastRow="0" w:firstColumn="0" w:lastColumn="0" w:oddVBand="0" w:evenVBand="0" w:oddHBand="0" w:evenHBand="0" w:firstRowFirstColumn="0" w:firstRowLastColumn="0" w:lastRowFirstColumn="0" w:lastRowLastColumn="0"/>
            </w:pPr>
            <w:r w:rsidRPr="002A441E">
              <w:t>2</w:t>
            </w:r>
          </w:p>
        </w:tc>
        <w:tc>
          <w:tcPr>
            <w:tcW w:w="0" w:type="auto"/>
            <w:noWrap/>
            <w:hideMark/>
          </w:tcPr>
          <w:p w14:paraId="3D2828C3" w14:textId="77777777" w:rsidR="001C436D" w:rsidRPr="002A441E" w:rsidRDefault="001C436D" w:rsidP="00DE11E1">
            <w:pPr>
              <w:cnfStyle w:val="000000000000" w:firstRow="0" w:lastRow="0" w:firstColumn="0" w:lastColumn="0" w:oddVBand="0" w:evenVBand="0" w:oddHBand="0" w:evenHBand="0" w:firstRowFirstColumn="0" w:firstRowLastColumn="0" w:lastRowFirstColumn="0" w:lastRowLastColumn="0"/>
            </w:pPr>
            <w:r w:rsidRPr="002A441E">
              <w:t>4.4.</w:t>
            </w:r>
          </w:p>
        </w:tc>
        <w:tc>
          <w:tcPr>
            <w:tcW w:w="0" w:type="auto"/>
            <w:hideMark/>
          </w:tcPr>
          <w:p w14:paraId="48B09BA7" w14:textId="77777777" w:rsidR="001C436D" w:rsidRPr="002A441E" w:rsidRDefault="001C436D" w:rsidP="00DE11E1">
            <w:pPr>
              <w:cnfStyle w:val="000000000000" w:firstRow="0" w:lastRow="0" w:firstColumn="0" w:lastColumn="0" w:oddVBand="0" w:evenVBand="0" w:oddHBand="0" w:evenHBand="0" w:firstRowFirstColumn="0" w:firstRowLastColumn="0" w:lastRowFirstColumn="0" w:lastRowLastColumn="0"/>
            </w:pPr>
            <w:r w:rsidRPr="002A441E">
              <w:t>Sadarbības partnera pēdējo 2 gadu auditēto gada pārskatu eksports vidēji  sastāda vairāk starp 50'000 līdz 200'000 EUR gadā</w:t>
            </w:r>
          </w:p>
        </w:tc>
        <w:tc>
          <w:tcPr>
            <w:tcW w:w="0" w:type="auto"/>
            <w:noWrap/>
            <w:hideMark/>
          </w:tcPr>
          <w:p w14:paraId="3A503534" w14:textId="77777777" w:rsidR="001C436D" w:rsidRPr="002A441E" w:rsidRDefault="001C436D" w:rsidP="00DE11E1">
            <w:pPr>
              <w:cnfStyle w:val="000000000000" w:firstRow="0" w:lastRow="0" w:firstColumn="0" w:lastColumn="0" w:oddVBand="0" w:evenVBand="0" w:oddHBand="0" w:evenHBand="0" w:firstRowFirstColumn="0" w:firstRowLastColumn="0" w:lastRowFirstColumn="0" w:lastRowLastColumn="0"/>
            </w:pPr>
            <w:r w:rsidRPr="002A441E">
              <w:t>2</w:t>
            </w:r>
          </w:p>
        </w:tc>
      </w:tr>
      <w:tr w:rsidR="00FE267B" w:rsidRPr="002A441E" w14:paraId="549A0E04" w14:textId="77777777" w:rsidTr="001C436D">
        <w:trPr>
          <w:cnfStyle w:val="000000100000" w:firstRow="0" w:lastRow="0" w:firstColumn="0" w:lastColumn="0" w:oddVBand="0" w:evenVBand="0" w:oddHBand="1" w:evenHBand="0" w:firstRowFirstColumn="0" w:firstRowLastColumn="0" w:lastRowFirstColumn="0" w:lastRowLastColumn="0"/>
          <w:trHeight w:val="2318"/>
        </w:trPr>
        <w:tc>
          <w:tcPr>
            <w:cnfStyle w:val="001000000000" w:firstRow="0" w:lastRow="0" w:firstColumn="1" w:lastColumn="0" w:oddVBand="0" w:evenVBand="0" w:oddHBand="0" w:evenHBand="0" w:firstRowFirstColumn="0" w:firstRowLastColumn="0" w:lastRowFirstColumn="0" w:lastRowLastColumn="0"/>
            <w:tcW w:w="0" w:type="auto"/>
            <w:noWrap/>
            <w:hideMark/>
          </w:tcPr>
          <w:p w14:paraId="0AC243A3" w14:textId="77777777" w:rsidR="001C436D" w:rsidRPr="002A441E" w:rsidRDefault="001C436D" w:rsidP="00DE11E1">
            <w:r w:rsidRPr="002A441E">
              <w:lastRenderedPageBreak/>
              <w:t>3.5.</w:t>
            </w:r>
          </w:p>
        </w:tc>
        <w:tc>
          <w:tcPr>
            <w:tcW w:w="0" w:type="auto"/>
            <w:hideMark/>
          </w:tcPr>
          <w:p w14:paraId="59A9888C" w14:textId="77777777" w:rsidR="001C436D" w:rsidRPr="002A441E" w:rsidRDefault="001C436D" w:rsidP="00DE11E1">
            <w:pPr>
              <w:cnfStyle w:val="000000100000" w:firstRow="0" w:lastRow="0" w:firstColumn="0" w:lastColumn="0" w:oddVBand="0" w:evenVBand="0" w:oddHBand="1" w:evenHBand="0" w:firstRowFirstColumn="0" w:firstRowLastColumn="0" w:lastRowFirstColumn="0" w:lastRowLastColumn="0"/>
            </w:pPr>
            <w:r w:rsidRPr="002A441E">
              <w:t xml:space="preserve">Pētniecības projekta izmaksas ir deklarētas, taču nav detalizēti atšifrējums pa pozīcijām </w:t>
            </w:r>
          </w:p>
        </w:tc>
        <w:tc>
          <w:tcPr>
            <w:tcW w:w="0" w:type="auto"/>
            <w:noWrap/>
            <w:hideMark/>
          </w:tcPr>
          <w:p w14:paraId="57E855E0" w14:textId="77777777" w:rsidR="001C436D" w:rsidRPr="002A441E" w:rsidRDefault="001C436D" w:rsidP="00DE11E1">
            <w:pPr>
              <w:cnfStyle w:val="000000100000" w:firstRow="0" w:lastRow="0" w:firstColumn="0" w:lastColumn="0" w:oddVBand="0" w:evenVBand="0" w:oddHBand="1" w:evenHBand="0" w:firstRowFirstColumn="0" w:firstRowLastColumn="0" w:lastRowFirstColumn="0" w:lastRowLastColumn="0"/>
            </w:pPr>
            <w:r w:rsidRPr="002A441E">
              <w:t>1</w:t>
            </w:r>
          </w:p>
        </w:tc>
        <w:tc>
          <w:tcPr>
            <w:tcW w:w="0" w:type="auto"/>
            <w:noWrap/>
            <w:hideMark/>
          </w:tcPr>
          <w:p w14:paraId="07334540" w14:textId="77777777" w:rsidR="001C436D" w:rsidRPr="002A441E" w:rsidRDefault="001C436D" w:rsidP="00DE11E1">
            <w:pPr>
              <w:cnfStyle w:val="000000100000" w:firstRow="0" w:lastRow="0" w:firstColumn="0" w:lastColumn="0" w:oddVBand="0" w:evenVBand="0" w:oddHBand="1" w:evenHBand="0" w:firstRowFirstColumn="0" w:firstRowLastColumn="0" w:lastRowFirstColumn="0" w:lastRowLastColumn="0"/>
            </w:pPr>
            <w:r w:rsidRPr="002A441E">
              <w:t>4.5.</w:t>
            </w:r>
          </w:p>
        </w:tc>
        <w:tc>
          <w:tcPr>
            <w:tcW w:w="0" w:type="auto"/>
            <w:hideMark/>
          </w:tcPr>
          <w:p w14:paraId="54F457AE" w14:textId="31C72982" w:rsidR="001C436D" w:rsidRPr="002A441E" w:rsidRDefault="001C436D" w:rsidP="00DE11E1">
            <w:pPr>
              <w:cnfStyle w:val="000000100000" w:firstRow="0" w:lastRow="0" w:firstColumn="0" w:lastColumn="0" w:oddVBand="0" w:evenVBand="0" w:oddHBand="1" w:evenHBand="0" w:firstRowFirstColumn="0" w:firstRowLastColumn="0" w:lastRowFirstColumn="0" w:lastRowLastColumn="0"/>
            </w:pPr>
            <w:r w:rsidRPr="002A441E">
              <w:t>Sadarbības partnera pēdējo 2 gadu auditēto gada pārskatu eksports vidēji  sastāda mazāk par 50'000 EUR gadā</w:t>
            </w:r>
          </w:p>
        </w:tc>
        <w:tc>
          <w:tcPr>
            <w:tcW w:w="0" w:type="auto"/>
            <w:noWrap/>
            <w:hideMark/>
          </w:tcPr>
          <w:p w14:paraId="3CD4873A" w14:textId="77777777" w:rsidR="001C436D" w:rsidRPr="002A441E" w:rsidRDefault="001C436D" w:rsidP="00DE11E1">
            <w:pPr>
              <w:cnfStyle w:val="000000100000" w:firstRow="0" w:lastRow="0" w:firstColumn="0" w:lastColumn="0" w:oddVBand="0" w:evenVBand="0" w:oddHBand="1" w:evenHBand="0" w:firstRowFirstColumn="0" w:firstRowLastColumn="0" w:lastRowFirstColumn="0" w:lastRowLastColumn="0"/>
            </w:pPr>
            <w:r w:rsidRPr="002A441E">
              <w:t>1</w:t>
            </w:r>
          </w:p>
        </w:tc>
      </w:tr>
    </w:tbl>
    <w:p w14:paraId="4548BB33" w14:textId="77777777" w:rsidR="006A1967" w:rsidRPr="007B4A2E" w:rsidRDefault="006A1967" w:rsidP="006A1967"/>
    <w:p w14:paraId="12426294" w14:textId="78D47D52" w:rsidR="006A1967" w:rsidRDefault="006A1967" w:rsidP="002319D2">
      <w:pPr>
        <w:pStyle w:val="Heading5"/>
        <w:rPr>
          <w:iCs/>
          <w:lang w:eastAsia="lv-LV"/>
        </w:rPr>
      </w:pPr>
      <w:r w:rsidRPr="007B4A2E">
        <w:rPr>
          <w:lang w:eastAsia="lv-LV"/>
        </w:rPr>
        <w:t xml:space="preserve">Pētījuma </w:t>
      </w:r>
      <w:r w:rsidRPr="002319D2">
        <w:rPr>
          <w:iCs/>
          <w:lang w:eastAsia="lv-LV"/>
        </w:rPr>
        <w:t>izpilde</w:t>
      </w:r>
    </w:p>
    <w:p w14:paraId="441ED5FB" w14:textId="79E6CB14" w:rsidR="009553C0" w:rsidRPr="00E62F6B" w:rsidRDefault="007A4546" w:rsidP="008A3C56">
      <w:pPr>
        <w:rPr>
          <w:rFonts w:cstheme="minorHAnsi"/>
          <w:lang w:eastAsia="lv-LV"/>
        </w:rPr>
      </w:pPr>
      <w:r w:rsidRPr="008A3C56">
        <w:rPr>
          <w:rFonts w:cstheme="minorHAnsi"/>
        </w:rPr>
        <w:t>Pētījuma izpildes vērtējums (Vērtē 1-5 punktu skalā; Kritērijā jāsaņem vismaz 2 punkti):</w:t>
      </w:r>
    </w:p>
    <w:tbl>
      <w:tblPr>
        <w:tblStyle w:val="GridTable3-Accent1"/>
        <w:tblW w:w="8280" w:type="dxa"/>
        <w:tblLook w:val="04A0" w:firstRow="1" w:lastRow="0" w:firstColumn="1" w:lastColumn="0" w:noHBand="0" w:noVBand="1"/>
      </w:tblPr>
      <w:tblGrid>
        <w:gridCol w:w="661"/>
        <w:gridCol w:w="2759"/>
        <w:gridCol w:w="828"/>
        <w:gridCol w:w="665"/>
        <w:gridCol w:w="2557"/>
        <w:gridCol w:w="828"/>
      </w:tblGrid>
      <w:tr w:rsidR="00BB1A71" w:rsidRPr="002A441E" w14:paraId="0D174DAA" w14:textId="4BDDF446" w:rsidTr="002319D2">
        <w:trPr>
          <w:cnfStyle w:val="100000000000" w:firstRow="1" w:lastRow="0" w:firstColumn="0" w:lastColumn="0" w:oddVBand="0" w:evenVBand="0" w:oddHBand="0" w:evenHBand="0" w:firstRowFirstColumn="0" w:firstRowLastColumn="0" w:lastRowFirstColumn="0" w:lastRowLastColumn="0"/>
          <w:trHeight w:val="900"/>
        </w:trPr>
        <w:tc>
          <w:tcPr>
            <w:cnfStyle w:val="001000000100" w:firstRow="0" w:lastRow="0" w:firstColumn="1" w:lastColumn="0" w:oddVBand="0" w:evenVBand="0" w:oddHBand="0" w:evenHBand="0" w:firstRowFirstColumn="1" w:firstRowLastColumn="0" w:lastRowFirstColumn="0" w:lastRowLastColumn="0"/>
            <w:tcW w:w="0" w:type="auto"/>
            <w:noWrap/>
            <w:hideMark/>
          </w:tcPr>
          <w:p w14:paraId="58C92ABF" w14:textId="77777777" w:rsidR="00BB1A71" w:rsidRPr="002319D2" w:rsidRDefault="00BB1A71" w:rsidP="00DE11E1">
            <w:pPr>
              <w:rPr>
                <w:b w:val="0"/>
                <w:bCs w:val="0"/>
              </w:rPr>
            </w:pPr>
            <w:r w:rsidRPr="009810D0">
              <w:t>Npk.</w:t>
            </w:r>
          </w:p>
        </w:tc>
        <w:tc>
          <w:tcPr>
            <w:tcW w:w="2759" w:type="dxa"/>
            <w:noWrap/>
            <w:hideMark/>
          </w:tcPr>
          <w:p w14:paraId="3879D78D" w14:textId="77777777" w:rsidR="00BB1A71" w:rsidRPr="002319D2" w:rsidRDefault="00BB1A71" w:rsidP="00DE11E1">
            <w:pPr>
              <w:cnfStyle w:val="100000000000" w:firstRow="1" w:lastRow="0" w:firstColumn="0" w:lastColumn="0" w:oddVBand="0" w:evenVBand="0" w:oddHBand="0" w:evenHBand="0" w:firstRowFirstColumn="0" w:firstRowLastColumn="0" w:lastRowFirstColumn="0" w:lastRowLastColumn="0"/>
              <w:rPr>
                <w:b w:val="0"/>
                <w:bCs w:val="0"/>
              </w:rPr>
            </w:pPr>
            <w:r w:rsidRPr="009810D0">
              <w:t>Uzņēmuma cilvēkresursi</w:t>
            </w:r>
          </w:p>
        </w:tc>
        <w:tc>
          <w:tcPr>
            <w:tcW w:w="828" w:type="dxa"/>
            <w:noWrap/>
            <w:hideMark/>
          </w:tcPr>
          <w:p w14:paraId="354F00DC" w14:textId="77777777" w:rsidR="00BB1A71" w:rsidRPr="002319D2" w:rsidRDefault="00BB1A71" w:rsidP="00DE11E1">
            <w:pPr>
              <w:cnfStyle w:val="100000000000" w:firstRow="1" w:lastRow="0" w:firstColumn="0" w:lastColumn="0" w:oddVBand="0" w:evenVBand="0" w:oddHBand="0" w:evenHBand="0" w:firstRowFirstColumn="0" w:firstRowLastColumn="0" w:lastRowFirstColumn="0" w:lastRowLastColumn="0"/>
              <w:rPr>
                <w:b w:val="0"/>
                <w:bCs w:val="0"/>
              </w:rPr>
            </w:pPr>
            <w:r w:rsidRPr="009810D0">
              <w:t>Punkti</w:t>
            </w:r>
          </w:p>
        </w:tc>
        <w:tc>
          <w:tcPr>
            <w:tcW w:w="665" w:type="dxa"/>
            <w:noWrap/>
            <w:hideMark/>
          </w:tcPr>
          <w:p w14:paraId="32E0BA16" w14:textId="77777777" w:rsidR="00BB1A71" w:rsidRPr="002319D2" w:rsidRDefault="00BB1A71" w:rsidP="00DE11E1">
            <w:pPr>
              <w:cnfStyle w:val="100000000000" w:firstRow="1" w:lastRow="0" w:firstColumn="0" w:lastColumn="0" w:oddVBand="0" w:evenVBand="0" w:oddHBand="0" w:evenHBand="0" w:firstRowFirstColumn="0" w:firstRowLastColumn="0" w:lastRowFirstColumn="0" w:lastRowLastColumn="0"/>
              <w:rPr>
                <w:b w:val="0"/>
                <w:bCs w:val="0"/>
              </w:rPr>
            </w:pPr>
            <w:r w:rsidRPr="009810D0">
              <w:t>Npk.</w:t>
            </w:r>
          </w:p>
        </w:tc>
        <w:tc>
          <w:tcPr>
            <w:tcW w:w="2557" w:type="dxa"/>
            <w:noWrap/>
            <w:hideMark/>
          </w:tcPr>
          <w:p w14:paraId="724FA060" w14:textId="77777777" w:rsidR="00BB1A71" w:rsidRPr="002319D2" w:rsidRDefault="00BB1A71" w:rsidP="00DE11E1">
            <w:pPr>
              <w:cnfStyle w:val="100000000000" w:firstRow="1" w:lastRow="0" w:firstColumn="0" w:lastColumn="0" w:oddVBand="0" w:evenVBand="0" w:oddHBand="0" w:evenHBand="0" w:firstRowFirstColumn="0" w:firstRowLastColumn="0" w:lastRowFirstColumn="0" w:lastRowLastColumn="0"/>
              <w:rPr>
                <w:b w:val="0"/>
                <w:bCs w:val="0"/>
              </w:rPr>
            </w:pPr>
            <w:r w:rsidRPr="009810D0">
              <w:t>Projekta plāns</w:t>
            </w:r>
          </w:p>
        </w:tc>
        <w:tc>
          <w:tcPr>
            <w:tcW w:w="810" w:type="dxa"/>
          </w:tcPr>
          <w:p w14:paraId="1CF10995" w14:textId="142E915F" w:rsidR="00BB1A71" w:rsidRPr="009810D0" w:rsidRDefault="00BB1A71" w:rsidP="00DE11E1">
            <w:pPr>
              <w:cnfStyle w:val="100000000000" w:firstRow="1" w:lastRow="0" w:firstColumn="0" w:lastColumn="0" w:oddVBand="0" w:evenVBand="0" w:oddHBand="0" w:evenHBand="0" w:firstRowFirstColumn="0" w:firstRowLastColumn="0" w:lastRowFirstColumn="0" w:lastRowLastColumn="0"/>
            </w:pPr>
            <w:r w:rsidRPr="001C436D">
              <w:t>Punkti</w:t>
            </w:r>
          </w:p>
        </w:tc>
      </w:tr>
      <w:tr w:rsidR="00BB1A71" w:rsidRPr="002A441E" w14:paraId="7AEB3BB6" w14:textId="76FEE2AC" w:rsidTr="002319D2">
        <w:trPr>
          <w:cnfStyle w:val="000000100000" w:firstRow="0" w:lastRow="0" w:firstColumn="0" w:lastColumn="0" w:oddVBand="0" w:evenVBand="0" w:oddHBand="1" w:evenHBand="0" w:firstRowFirstColumn="0" w:firstRowLastColumn="0" w:lastRowFirstColumn="0" w:lastRowLastColumn="0"/>
          <w:trHeight w:val="2700"/>
        </w:trPr>
        <w:tc>
          <w:tcPr>
            <w:cnfStyle w:val="001000000000" w:firstRow="0" w:lastRow="0" w:firstColumn="1" w:lastColumn="0" w:oddVBand="0" w:evenVBand="0" w:oddHBand="0" w:evenHBand="0" w:firstRowFirstColumn="0" w:firstRowLastColumn="0" w:lastRowFirstColumn="0" w:lastRowLastColumn="0"/>
            <w:tcW w:w="0" w:type="auto"/>
            <w:noWrap/>
            <w:hideMark/>
          </w:tcPr>
          <w:p w14:paraId="6DF7AC68" w14:textId="77777777" w:rsidR="00BB1A71" w:rsidRPr="002A441E" w:rsidRDefault="00BB1A71" w:rsidP="00DE11E1">
            <w:r w:rsidRPr="002A441E">
              <w:t>5.1.</w:t>
            </w:r>
          </w:p>
        </w:tc>
        <w:tc>
          <w:tcPr>
            <w:tcW w:w="2759" w:type="dxa"/>
            <w:hideMark/>
          </w:tcPr>
          <w:p w14:paraId="519E0B3D" w14:textId="77777777" w:rsidR="00BB1A71" w:rsidRPr="002A441E" w:rsidRDefault="00BB1A71" w:rsidP="00DE11E1">
            <w:pPr>
              <w:cnfStyle w:val="000000100000" w:firstRow="0" w:lastRow="0" w:firstColumn="0" w:lastColumn="0" w:oddVBand="0" w:evenVBand="0" w:oddHBand="1" w:evenHBand="0" w:firstRowFirstColumn="0" w:firstRowLastColumn="0" w:lastRowFirstColumn="0" w:lastRowLastColumn="0"/>
            </w:pPr>
            <w:r w:rsidRPr="002A441E">
              <w:t xml:space="preserve">Uzņēmuma struktūrā ir pastāvīgs P&amp;A departaments vai nodaļa, pēdējo 2 noslēgto finanšu gadu laikā P&amp;A budžets ir lielāks </w:t>
            </w:r>
            <w:r>
              <w:t>ne</w:t>
            </w:r>
            <w:r w:rsidRPr="002A441E">
              <w:t>kā 1mEUR, un ir izstrādāti vismaz 3 jauni produkti</w:t>
            </w:r>
          </w:p>
        </w:tc>
        <w:tc>
          <w:tcPr>
            <w:tcW w:w="828" w:type="dxa"/>
            <w:noWrap/>
            <w:hideMark/>
          </w:tcPr>
          <w:p w14:paraId="37220DEF" w14:textId="77777777" w:rsidR="00BB1A71" w:rsidRPr="002A441E" w:rsidRDefault="00BB1A71" w:rsidP="00DE11E1">
            <w:pPr>
              <w:cnfStyle w:val="000000100000" w:firstRow="0" w:lastRow="0" w:firstColumn="0" w:lastColumn="0" w:oddVBand="0" w:evenVBand="0" w:oddHBand="1" w:evenHBand="0" w:firstRowFirstColumn="0" w:firstRowLastColumn="0" w:lastRowFirstColumn="0" w:lastRowLastColumn="0"/>
            </w:pPr>
            <w:r w:rsidRPr="002A441E">
              <w:t>5</w:t>
            </w:r>
          </w:p>
        </w:tc>
        <w:tc>
          <w:tcPr>
            <w:tcW w:w="665" w:type="dxa"/>
            <w:noWrap/>
            <w:hideMark/>
          </w:tcPr>
          <w:p w14:paraId="307D5D72" w14:textId="77777777" w:rsidR="00BB1A71" w:rsidRPr="002A441E" w:rsidRDefault="00BB1A71" w:rsidP="00DE11E1">
            <w:pPr>
              <w:cnfStyle w:val="000000100000" w:firstRow="0" w:lastRow="0" w:firstColumn="0" w:lastColumn="0" w:oddVBand="0" w:evenVBand="0" w:oddHBand="1" w:evenHBand="0" w:firstRowFirstColumn="0" w:firstRowLastColumn="0" w:lastRowFirstColumn="0" w:lastRowLastColumn="0"/>
            </w:pPr>
            <w:r w:rsidRPr="002A441E">
              <w:t>6.1.</w:t>
            </w:r>
          </w:p>
        </w:tc>
        <w:tc>
          <w:tcPr>
            <w:tcW w:w="2557" w:type="dxa"/>
            <w:hideMark/>
          </w:tcPr>
          <w:p w14:paraId="5476AD2A" w14:textId="40902A7B" w:rsidR="00BB1A71" w:rsidRPr="002A441E" w:rsidRDefault="00BB1A71" w:rsidP="00DE11E1">
            <w:pPr>
              <w:cnfStyle w:val="000000100000" w:firstRow="0" w:lastRow="0" w:firstColumn="0" w:lastColumn="0" w:oddVBand="0" w:evenVBand="0" w:oddHBand="1" w:evenHBand="0" w:firstRowFirstColumn="0" w:firstRowLastColumn="0" w:lastRowFirstColumn="0" w:lastRowLastColumn="0"/>
            </w:pPr>
            <w:r w:rsidRPr="002B60B8">
              <w:t>Pētniecības projekta plāns ir izstrādāts detalizēti, skaidri definēti pētniecības projekta starpposmi laika grafikā, un starpposmos sasniedzamie rezult</w:t>
            </w:r>
            <w:r>
              <w:t>a</w:t>
            </w:r>
            <w:r w:rsidRPr="002B60B8">
              <w:t>tīvie rādītāji</w:t>
            </w:r>
          </w:p>
        </w:tc>
        <w:tc>
          <w:tcPr>
            <w:tcW w:w="810" w:type="dxa"/>
          </w:tcPr>
          <w:p w14:paraId="2B4AE482" w14:textId="7054F0CF" w:rsidR="00BB1A71" w:rsidRPr="002B60B8" w:rsidRDefault="00BB1A71" w:rsidP="00DE11E1">
            <w:pPr>
              <w:cnfStyle w:val="000000100000" w:firstRow="0" w:lastRow="0" w:firstColumn="0" w:lastColumn="0" w:oddVBand="0" w:evenVBand="0" w:oddHBand="1" w:evenHBand="0" w:firstRowFirstColumn="0" w:firstRowLastColumn="0" w:lastRowFirstColumn="0" w:lastRowLastColumn="0"/>
            </w:pPr>
            <w:r>
              <w:t>5</w:t>
            </w:r>
          </w:p>
        </w:tc>
      </w:tr>
      <w:tr w:rsidR="00BB1A71" w:rsidRPr="00FD6BC3" w14:paraId="6CBE32AA" w14:textId="23FDED50" w:rsidTr="002319D2">
        <w:trPr>
          <w:trHeight w:val="3000"/>
        </w:trPr>
        <w:tc>
          <w:tcPr>
            <w:cnfStyle w:val="001000000000" w:firstRow="0" w:lastRow="0" w:firstColumn="1" w:lastColumn="0" w:oddVBand="0" w:evenVBand="0" w:oddHBand="0" w:evenHBand="0" w:firstRowFirstColumn="0" w:firstRowLastColumn="0" w:lastRowFirstColumn="0" w:lastRowLastColumn="0"/>
            <w:tcW w:w="0" w:type="auto"/>
            <w:noWrap/>
            <w:hideMark/>
          </w:tcPr>
          <w:p w14:paraId="49DCFD17" w14:textId="77777777" w:rsidR="00BB1A71" w:rsidRPr="002A441E" w:rsidRDefault="00BB1A71" w:rsidP="00DE11E1">
            <w:r w:rsidRPr="002A441E">
              <w:t>5.2.</w:t>
            </w:r>
          </w:p>
        </w:tc>
        <w:tc>
          <w:tcPr>
            <w:tcW w:w="2759" w:type="dxa"/>
            <w:hideMark/>
          </w:tcPr>
          <w:p w14:paraId="3DE63EDC" w14:textId="77777777" w:rsidR="00BB1A71" w:rsidRPr="002A441E" w:rsidRDefault="00BB1A71" w:rsidP="00DE11E1">
            <w:pPr>
              <w:cnfStyle w:val="000000000000" w:firstRow="0" w:lastRow="0" w:firstColumn="0" w:lastColumn="0" w:oddVBand="0" w:evenVBand="0" w:oddHBand="0" w:evenHBand="0" w:firstRowFirstColumn="0" w:firstRowLastColumn="0" w:lastRowFirstColumn="0" w:lastRowLastColumn="0"/>
            </w:pPr>
            <w:r w:rsidRPr="002A441E">
              <w:t>Uzņēmuma struktūrā ir pastāvīgs P&amp;A departaments vai nodaļa, pēdējo 2 noslēgto finanšu gadu laikā vidējais P&amp;A budžets ir diapazonā 0,2 līdz 1mEUR, un ir izstrādāti vismaz 3 jauni produkti</w:t>
            </w:r>
          </w:p>
        </w:tc>
        <w:tc>
          <w:tcPr>
            <w:tcW w:w="828" w:type="dxa"/>
            <w:noWrap/>
            <w:hideMark/>
          </w:tcPr>
          <w:p w14:paraId="45066027" w14:textId="77777777" w:rsidR="00BB1A71" w:rsidRPr="002A441E" w:rsidRDefault="00BB1A71" w:rsidP="00DE11E1">
            <w:pPr>
              <w:cnfStyle w:val="000000000000" w:firstRow="0" w:lastRow="0" w:firstColumn="0" w:lastColumn="0" w:oddVBand="0" w:evenVBand="0" w:oddHBand="0" w:evenHBand="0" w:firstRowFirstColumn="0" w:firstRowLastColumn="0" w:lastRowFirstColumn="0" w:lastRowLastColumn="0"/>
            </w:pPr>
            <w:r w:rsidRPr="002A441E">
              <w:t>4</w:t>
            </w:r>
          </w:p>
        </w:tc>
        <w:tc>
          <w:tcPr>
            <w:tcW w:w="665" w:type="dxa"/>
            <w:noWrap/>
            <w:hideMark/>
          </w:tcPr>
          <w:p w14:paraId="20A39708" w14:textId="77777777" w:rsidR="00BB1A71" w:rsidRPr="002A441E" w:rsidRDefault="00BB1A71" w:rsidP="00DE11E1">
            <w:pPr>
              <w:cnfStyle w:val="000000000000" w:firstRow="0" w:lastRow="0" w:firstColumn="0" w:lastColumn="0" w:oddVBand="0" w:evenVBand="0" w:oddHBand="0" w:evenHBand="0" w:firstRowFirstColumn="0" w:firstRowLastColumn="0" w:lastRowFirstColumn="0" w:lastRowLastColumn="0"/>
            </w:pPr>
            <w:r w:rsidRPr="002A441E">
              <w:t>6.2.</w:t>
            </w:r>
          </w:p>
        </w:tc>
        <w:tc>
          <w:tcPr>
            <w:tcW w:w="2557" w:type="dxa"/>
            <w:hideMark/>
          </w:tcPr>
          <w:p w14:paraId="3EE5BFBC" w14:textId="77777777" w:rsidR="00BB1A71" w:rsidRPr="00FD6BC3" w:rsidRDefault="00BB1A71" w:rsidP="00DE11E1">
            <w:pPr>
              <w:cnfStyle w:val="000000000000" w:firstRow="0" w:lastRow="0" w:firstColumn="0" w:lastColumn="0" w:oddVBand="0" w:evenVBand="0" w:oddHBand="0" w:evenHBand="0" w:firstRowFirstColumn="0" w:firstRowLastColumn="0" w:lastRowFirstColumn="0" w:lastRowLastColumn="0"/>
            </w:pPr>
            <w:r w:rsidRPr="00FD6BC3">
              <w:t> Pētniecības projekta plāns ir izstrādāts detalizēti, skaidri definēti pētniecības projekta starpposmi laika grafikā, nodevumi definēti pa projekta starpposmiem, taču nav definēti starpposmu rezultatīvie rādītāji</w:t>
            </w:r>
          </w:p>
        </w:tc>
        <w:tc>
          <w:tcPr>
            <w:tcW w:w="810" w:type="dxa"/>
          </w:tcPr>
          <w:p w14:paraId="5F85D659" w14:textId="1B686F6D" w:rsidR="00BB1A71" w:rsidRPr="00FD6BC3" w:rsidRDefault="00BB1A71" w:rsidP="00DE11E1">
            <w:pPr>
              <w:cnfStyle w:val="000000000000" w:firstRow="0" w:lastRow="0" w:firstColumn="0" w:lastColumn="0" w:oddVBand="0" w:evenVBand="0" w:oddHBand="0" w:evenHBand="0" w:firstRowFirstColumn="0" w:firstRowLastColumn="0" w:lastRowFirstColumn="0" w:lastRowLastColumn="0"/>
            </w:pPr>
            <w:r>
              <w:t>4</w:t>
            </w:r>
          </w:p>
        </w:tc>
      </w:tr>
      <w:tr w:rsidR="00BB1A71" w:rsidRPr="00FD6BC3" w14:paraId="45FFEAD4" w14:textId="01F58DF9" w:rsidTr="002319D2">
        <w:trPr>
          <w:cnfStyle w:val="000000100000" w:firstRow="0" w:lastRow="0" w:firstColumn="0" w:lastColumn="0" w:oddVBand="0" w:evenVBand="0" w:oddHBand="1" w:evenHBand="0" w:firstRowFirstColumn="0" w:firstRowLastColumn="0" w:lastRowFirstColumn="0" w:lastRowLastColumn="0"/>
          <w:trHeight w:val="2592"/>
        </w:trPr>
        <w:tc>
          <w:tcPr>
            <w:cnfStyle w:val="001000000000" w:firstRow="0" w:lastRow="0" w:firstColumn="1" w:lastColumn="0" w:oddVBand="0" w:evenVBand="0" w:oddHBand="0" w:evenHBand="0" w:firstRowFirstColumn="0" w:firstRowLastColumn="0" w:lastRowFirstColumn="0" w:lastRowLastColumn="0"/>
            <w:tcW w:w="0" w:type="auto"/>
            <w:noWrap/>
            <w:hideMark/>
          </w:tcPr>
          <w:p w14:paraId="100FA33A" w14:textId="77777777" w:rsidR="00BB1A71" w:rsidRPr="002A441E" w:rsidRDefault="00BB1A71" w:rsidP="00DE11E1">
            <w:r w:rsidRPr="002A441E">
              <w:t>5.3.</w:t>
            </w:r>
          </w:p>
        </w:tc>
        <w:tc>
          <w:tcPr>
            <w:tcW w:w="2759" w:type="dxa"/>
            <w:hideMark/>
          </w:tcPr>
          <w:p w14:paraId="42F5AE0E" w14:textId="77777777" w:rsidR="00BB1A71" w:rsidRPr="002A441E" w:rsidRDefault="00BB1A71" w:rsidP="00DE11E1">
            <w:pPr>
              <w:cnfStyle w:val="000000100000" w:firstRow="0" w:lastRow="0" w:firstColumn="0" w:lastColumn="0" w:oddVBand="0" w:evenVBand="0" w:oddHBand="1" w:evenHBand="0" w:firstRowFirstColumn="0" w:firstRowLastColumn="0" w:lastRowFirstColumn="0" w:lastRowLastColumn="0"/>
            </w:pPr>
            <w:r w:rsidRPr="002A441E">
              <w:t>Uzņēmuma struktūrā ir pastāvīgs P&amp;A departaments vai nodaļa, pēdējo 2 noslēgto finanšu gadu laikā vidējais P&amp;A budžets ir diapazonā 30'000 līdz 200'000 EUR, un ir izstrādāti vismaz 3 jauni produkti</w:t>
            </w:r>
          </w:p>
        </w:tc>
        <w:tc>
          <w:tcPr>
            <w:tcW w:w="828" w:type="dxa"/>
            <w:noWrap/>
            <w:hideMark/>
          </w:tcPr>
          <w:p w14:paraId="66231B96" w14:textId="77777777" w:rsidR="00BB1A71" w:rsidRPr="002A441E" w:rsidRDefault="00BB1A71" w:rsidP="00DE11E1">
            <w:pPr>
              <w:cnfStyle w:val="000000100000" w:firstRow="0" w:lastRow="0" w:firstColumn="0" w:lastColumn="0" w:oddVBand="0" w:evenVBand="0" w:oddHBand="1" w:evenHBand="0" w:firstRowFirstColumn="0" w:firstRowLastColumn="0" w:lastRowFirstColumn="0" w:lastRowLastColumn="0"/>
            </w:pPr>
            <w:r w:rsidRPr="002A441E">
              <w:t>3</w:t>
            </w:r>
          </w:p>
        </w:tc>
        <w:tc>
          <w:tcPr>
            <w:tcW w:w="665" w:type="dxa"/>
            <w:noWrap/>
            <w:hideMark/>
          </w:tcPr>
          <w:p w14:paraId="6BE634CA" w14:textId="77777777" w:rsidR="00BB1A71" w:rsidRPr="002A441E" w:rsidRDefault="00BB1A71" w:rsidP="00DE11E1">
            <w:pPr>
              <w:cnfStyle w:val="000000100000" w:firstRow="0" w:lastRow="0" w:firstColumn="0" w:lastColumn="0" w:oddVBand="0" w:evenVBand="0" w:oddHBand="1" w:evenHBand="0" w:firstRowFirstColumn="0" w:firstRowLastColumn="0" w:lastRowFirstColumn="0" w:lastRowLastColumn="0"/>
            </w:pPr>
            <w:r w:rsidRPr="002A441E">
              <w:t>6.3.</w:t>
            </w:r>
          </w:p>
        </w:tc>
        <w:tc>
          <w:tcPr>
            <w:tcW w:w="2557" w:type="dxa"/>
            <w:hideMark/>
          </w:tcPr>
          <w:p w14:paraId="7984076A" w14:textId="75BA8ABF" w:rsidR="00BB1A71" w:rsidRPr="00FD6BC3" w:rsidRDefault="00BB1A71" w:rsidP="00DE11E1">
            <w:pPr>
              <w:cnfStyle w:val="000000100000" w:firstRow="0" w:lastRow="0" w:firstColumn="0" w:lastColumn="0" w:oddVBand="0" w:evenVBand="0" w:oddHBand="1" w:evenHBand="0" w:firstRowFirstColumn="0" w:firstRowLastColumn="0" w:lastRowFirstColumn="0" w:lastRowLastColumn="0"/>
            </w:pPr>
            <w:r w:rsidRPr="00FD6BC3">
              <w:t> Pētniecības projekta plāns ir izstrādāts detalizēti, skaidri definēti pētniecības projekta starpposmi laika grafikā, rezult</w:t>
            </w:r>
            <w:r>
              <w:t>a</w:t>
            </w:r>
            <w:r w:rsidRPr="00FD6BC3">
              <w:t>tīvie rādītāji ir definēti visam projektam kopumā nesadalot pa starpposmiem, un starpposmu nodevumi nav definēti</w:t>
            </w:r>
          </w:p>
        </w:tc>
        <w:tc>
          <w:tcPr>
            <w:tcW w:w="810" w:type="dxa"/>
          </w:tcPr>
          <w:p w14:paraId="44543A76" w14:textId="21996D53" w:rsidR="00BB1A71" w:rsidRPr="00FD6BC3" w:rsidRDefault="00BB1A71" w:rsidP="00DE11E1">
            <w:pPr>
              <w:cnfStyle w:val="000000100000" w:firstRow="0" w:lastRow="0" w:firstColumn="0" w:lastColumn="0" w:oddVBand="0" w:evenVBand="0" w:oddHBand="1" w:evenHBand="0" w:firstRowFirstColumn="0" w:firstRowLastColumn="0" w:lastRowFirstColumn="0" w:lastRowLastColumn="0"/>
            </w:pPr>
            <w:r>
              <w:t>3</w:t>
            </w:r>
          </w:p>
        </w:tc>
      </w:tr>
      <w:tr w:rsidR="00BB1A71" w:rsidRPr="002A441E" w14:paraId="08921324" w14:textId="7F0645F2" w:rsidTr="002319D2">
        <w:trPr>
          <w:trHeight w:val="2678"/>
        </w:trPr>
        <w:tc>
          <w:tcPr>
            <w:cnfStyle w:val="001000000000" w:firstRow="0" w:lastRow="0" w:firstColumn="1" w:lastColumn="0" w:oddVBand="0" w:evenVBand="0" w:oddHBand="0" w:evenHBand="0" w:firstRowFirstColumn="0" w:firstRowLastColumn="0" w:lastRowFirstColumn="0" w:lastRowLastColumn="0"/>
            <w:tcW w:w="0" w:type="auto"/>
            <w:noWrap/>
            <w:hideMark/>
          </w:tcPr>
          <w:p w14:paraId="58CD3373" w14:textId="77777777" w:rsidR="00BB1A71" w:rsidRPr="002A441E" w:rsidRDefault="00BB1A71" w:rsidP="00DE11E1">
            <w:r w:rsidRPr="002A441E">
              <w:lastRenderedPageBreak/>
              <w:t>5.4.</w:t>
            </w:r>
          </w:p>
        </w:tc>
        <w:tc>
          <w:tcPr>
            <w:tcW w:w="2759" w:type="dxa"/>
            <w:hideMark/>
          </w:tcPr>
          <w:p w14:paraId="533BA8D4" w14:textId="1069A7F7" w:rsidR="00BB1A71" w:rsidRPr="002A441E" w:rsidRDefault="00BB1A71" w:rsidP="00DE11E1">
            <w:pPr>
              <w:cnfStyle w:val="000000000000" w:firstRow="0" w:lastRow="0" w:firstColumn="0" w:lastColumn="0" w:oddVBand="0" w:evenVBand="0" w:oddHBand="0" w:evenHBand="0" w:firstRowFirstColumn="0" w:firstRowLastColumn="0" w:lastRowFirstColumn="0" w:lastRowLastColumn="0"/>
            </w:pPr>
            <w:r w:rsidRPr="002A441E">
              <w:t>Uzņēmums regulāri izstrādā jaunus produktus, taču pēdējo 2 gadu pārskatos P&amp;A izmaksas netiek atsevišķi uzskaitītas, vai Sadarbības partneris nav specifizējis izstrādāto jauno produktu skaitu un nosaukumus</w:t>
            </w:r>
          </w:p>
        </w:tc>
        <w:tc>
          <w:tcPr>
            <w:tcW w:w="828" w:type="dxa"/>
            <w:noWrap/>
            <w:hideMark/>
          </w:tcPr>
          <w:p w14:paraId="32C8B5FE" w14:textId="77777777" w:rsidR="00BB1A71" w:rsidRPr="002A441E" w:rsidRDefault="00BB1A71" w:rsidP="00DE11E1">
            <w:pPr>
              <w:cnfStyle w:val="000000000000" w:firstRow="0" w:lastRow="0" w:firstColumn="0" w:lastColumn="0" w:oddVBand="0" w:evenVBand="0" w:oddHBand="0" w:evenHBand="0" w:firstRowFirstColumn="0" w:firstRowLastColumn="0" w:lastRowFirstColumn="0" w:lastRowLastColumn="0"/>
            </w:pPr>
            <w:r w:rsidRPr="002A441E">
              <w:t>2</w:t>
            </w:r>
          </w:p>
        </w:tc>
        <w:tc>
          <w:tcPr>
            <w:tcW w:w="665" w:type="dxa"/>
            <w:noWrap/>
            <w:hideMark/>
          </w:tcPr>
          <w:p w14:paraId="58FA971B" w14:textId="77777777" w:rsidR="00BB1A71" w:rsidRPr="002A441E" w:rsidRDefault="00BB1A71" w:rsidP="00DE11E1">
            <w:pPr>
              <w:cnfStyle w:val="000000000000" w:firstRow="0" w:lastRow="0" w:firstColumn="0" w:lastColumn="0" w:oddVBand="0" w:evenVBand="0" w:oddHBand="0" w:evenHBand="0" w:firstRowFirstColumn="0" w:firstRowLastColumn="0" w:lastRowFirstColumn="0" w:lastRowLastColumn="0"/>
            </w:pPr>
            <w:r w:rsidRPr="002A441E">
              <w:t>6.4.</w:t>
            </w:r>
          </w:p>
        </w:tc>
        <w:tc>
          <w:tcPr>
            <w:tcW w:w="2557" w:type="dxa"/>
            <w:hideMark/>
          </w:tcPr>
          <w:p w14:paraId="2083CBBD" w14:textId="77777777" w:rsidR="00BB1A71" w:rsidRPr="002A441E" w:rsidRDefault="00BB1A71" w:rsidP="00DE11E1">
            <w:pPr>
              <w:cnfStyle w:val="000000000000" w:firstRow="0" w:lastRow="0" w:firstColumn="0" w:lastColumn="0" w:oddVBand="0" w:evenVBand="0" w:oddHBand="0" w:evenHBand="0" w:firstRowFirstColumn="0" w:firstRowLastColumn="0" w:lastRowFirstColumn="0" w:lastRowLastColumn="0"/>
            </w:pPr>
            <w:r w:rsidRPr="002A441E">
              <w:t>Pētniecības projekta plāns ir izstrādāts nepietiekami detalizēti, projekta starpposmi ir definēti, taču to nodevumi nav definēti</w:t>
            </w:r>
          </w:p>
        </w:tc>
        <w:tc>
          <w:tcPr>
            <w:tcW w:w="810" w:type="dxa"/>
          </w:tcPr>
          <w:p w14:paraId="2EB64FF3" w14:textId="1F33CCF5" w:rsidR="00BB1A71" w:rsidRPr="002A441E" w:rsidRDefault="00BB1A71" w:rsidP="00DE11E1">
            <w:pPr>
              <w:cnfStyle w:val="000000000000" w:firstRow="0" w:lastRow="0" w:firstColumn="0" w:lastColumn="0" w:oddVBand="0" w:evenVBand="0" w:oddHBand="0" w:evenHBand="0" w:firstRowFirstColumn="0" w:firstRowLastColumn="0" w:lastRowFirstColumn="0" w:lastRowLastColumn="0"/>
            </w:pPr>
            <w:r>
              <w:t>2</w:t>
            </w:r>
          </w:p>
        </w:tc>
      </w:tr>
      <w:tr w:rsidR="00BB1A71" w:rsidRPr="002A441E" w14:paraId="6108C44A" w14:textId="3AF18AFA" w:rsidTr="002319D2">
        <w:trPr>
          <w:cnfStyle w:val="000000100000" w:firstRow="0" w:lastRow="0" w:firstColumn="0" w:lastColumn="0" w:oddVBand="0" w:evenVBand="0" w:oddHBand="1" w:evenHBand="0" w:firstRowFirstColumn="0" w:firstRowLastColumn="0" w:lastRowFirstColumn="0" w:lastRowLastColumn="0"/>
          <w:trHeight w:val="2318"/>
        </w:trPr>
        <w:tc>
          <w:tcPr>
            <w:cnfStyle w:val="001000000000" w:firstRow="0" w:lastRow="0" w:firstColumn="1" w:lastColumn="0" w:oddVBand="0" w:evenVBand="0" w:oddHBand="0" w:evenHBand="0" w:firstRowFirstColumn="0" w:firstRowLastColumn="0" w:lastRowFirstColumn="0" w:lastRowLastColumn="0"/>
            <w:tcW w:w="0" w:type="auto"/>
            <w:noWrap/>
            <w:hideMark/>
          </w:tcPr>
          <w:p w14:paraId="5D109507" w14:textId="77777777" w:rsidR="00BB1A71" w:rsidRPr="002A441E" w:rsidRDefault="00BB1A71" w:rsidP="00DE11E1">
            <w:r w:rsidRPr="002A441E">
              <w:t>5.4.</w:t>
            </w:r>
          </w:p>
        </w:tc>
        <w:tc>
          <w:tcPr>
            <w:tcW w:w="2759" w:type="dxa"/>
            <w:hideMark/>
          </w:tcPr>
          <w:p w14:paraId="60320CED" w14:textId="77777777" w:rsidR="00BB1A71" w:rsidRPr="002A441E" w:rsidRDefault="00BB1A71" w:rsidP="00DE11E1">
            <w:pPr>
              <w:cnfStyle w:val="000000100000" w:firstRow="0" w:lastRow="0" w:firstColumn="0" w:lastColumn="0" w:oddVBand="0" w:evenVBand="0" w:oddHBand="1" w:evenHBand="0" w:firstRowFirstColumn="0" w:firstRowLastColumn="0" w:lastRowFirstColumn="0" w:lastRowLastColumn="0"/>
            </w:pPr>
            <w:r w:rsidRPr="002A441E">
              <w:t xml:space="preserve">Uzņēmumā pastāvīgi strādā mazāk nekā 5 darbinieki, 3 gadu laikā izstrādāti mazāk </w:t>
            </w:r>
            <w:r>
              <w:t>ne</w:t>
            </w:r>
            <w:r w:rsidRPr="002A441E">
              <w:t>kā 3 jauni produkti</w:t>
            </w:r>
          </w:p>
        </w:tc>
        <w:tc>
          <w:tcPr>
            <w:tcW w:w="828" w:type="dxa"/>
            <w:noWrap/>
            <w:hideMark/>
          </w:tcPr>
          <w:p w14:paraId="7B26C2B3" w14:textId="77777777" w:rsidR="00BB1A71" w:rsidRPr="002A441E" w:rsidRDefault="00BB1A71" w:rsidP="00DE11E1">
            <w:pPr>
              <w:cnfStyle w:val="000000100000" w:firstRow="0" w:lastRow="0" w:firstColumn="0" w:lastColumn="0" w:oddVBand="0" w:evenVBand="0" w:oddHBand="1" w:evenHBand="0" w:firstRowFirstColumn="0" w:firstRowLastColumn="0" w:lastRowFirstColumn="0" w:lastRowLastColumn="0"/>
            </w:pPr>
            <w:r w:rsidRPr="002A441E">
              <w:t>1</w:t>
            </w:r>
          </w:p>
        </w:tc>
        <w:tc>
          <w:tcPr>
            <w:tcW w:w="665" w:type="dxa"/>
            <w:noWrap/>
            <w:hideMark/>
          </w:tcPr>
          <w:p w14:paraId="19084EBB" w14:textId="77777777" w:rsidR="00BB1A71" w:rsidRPr="002A441E" w:rsidRDefault="00BB1A71" w:rsidP="00DE11E1">
            <w:pPr>
              <w:cnfStyle w:val="000000100000" w:firstRow="0" w:lastRow="0" w:firstColumn="0" w:lastColumn="0" w:oddVBand="0" w:evenVBand="0" w:oddHBand="1" w:evenHBand="0" w:firstRowFirstColumn="0" w:firstRowLastColumn="0" w:lastRowFirstColumn="0" w:lastRowLastColumn="0"/>
            </w:pPr>
            <w:r w:rsidRPr="002A441E">
              <w:t>6.5.</w:t>
            </w:r>
          </w:p>
        </w:tc>
        <w:tc>
          <w:tcPr>
            <w:tcW w:w="2557" w:type="dxa"/>
            <w:hideMark/>
          </w:tcPr>
          <w:p w14:paraId="6EC11F97" w14:textId="77777777" w:rsidR="00BB1A71" w:rsidRPr="002A441E" w:rsidRDefault="00BB1A71" w:rsidP="00DE11E1">
            <w:pPr>
              <w:cnfStyle w:val="000000100000" w:firstRow="0" w:lastRow="0" w:firstColumn="0" w:lastColumn="0" w:oddVBand="0" w:evenVBand="0" w:oddHBand="1" w:evenHBand="0" w:firstRowFirstColumn="0" w:firstRowLastColumn="0" w:lastRowFirstColumn="0" w:lastRowLastColumn="0"/>
            </w:pPr>
            <w:r w:rsidRPr="002A441E">
              <w:t>Pētniecības projekta plāns ir izstrādāts nepietiekami detalizēti, projekta starpposmi un to nodevumi nav definēti</w:t>
            </w:r>
          </w:p>
        </w:tc>
        <w:tc>
          <w:tcPr>
            <w:tcW w:w="810" w:type="dxa"/>
          </w:tcPr>
          <w:p w14:paraId="5F6D7235" w14:textId="1E6790E1" w:rsidR="00BB1A71" w:rsidRPr="002A441E" w:rsidRDefault="00BB1A71" w:rsidP="00DE11E1">
            <w:pPr>
              <w:cnfStyle w:val="000000100000" w:firstRow="0" w:lastRow="0" w:firstColumn="0" w:lastColumn="0" w:oddVBand="0" w:evenVBand="0" w:oddHBand="1" w:evenHBand="0" w:firstRowFirstColumn="0" w:firstRowLastColumn="0" w:lastRowFirstColumn="0" w:lastRowLastColumn="0"/>
            </w:pPr>
            <w:r>
              <w:t>1</w:t>
            </w:r>
          </w:p>
        </w:tc>
      </w:tr>
    </w:tbl>
    <w:p w14:paraId="2B859B6B" w14:textId="77777777" w:rsidR="009810D0" w:rsidRDefault="009810D0" w:rsidP="006A1967"/>
    <w:p w14:paraId="6B56002E" w14:textId="062C06D1" w:rsidR="006A1967" w:rsidRDefault="00B074E5" w:rsidP="002319D2">
      <w:r w:rsidRPr="00D0054F">
        <w:t>Projekti tiek vērtēti dialogā un projekta iesniedzējam ir iespējas novērst piezīmes, ja ekspertu vērtējumā projektā ir nepieciešamas un iespējamas korekcijas.</w:t>
      </w:r>
    </w:p>
    <w:p w14:paraId="5D51E330" w14:textId="11475341" w:rsidR="006A1967" w:rsidRPr="002319D2" w:rsidRDefault="006A1967" w:rsidP="002319D2">
      <w:pPr>
        <w:pStyle w:val="Heading5"/>
        <w:rPr>
          <w:sz w:val="24"/>
          <w:szCs w:val="24"/>
          <w:lang w:eastAsia="lv-LV"/>
        </w:rPr>
      </w:pPr>
      <w:r w:rsidRPr="002319D2">
        <w:rPr>
          <w:sz w:val="24"/>
          <w:szCs w:val="24"/>
          <w:lang w:eastAsia="lv-LV"/>
        </w:rPr>
        <w:t>Principa "nenodarīt būtisku kaitējumu" ievērošana</w:t>
      </w:r>
    </w:p>
    <w:p w14:paraId="65DB23ED" w14:textId="77777777" w:rsidR="00132309" w:rsidRPr="008A3C56" w:rsidRDefault="00132309" w:rsidP="00132309">
      <w:pPr>
        <w:rPr>
          <w:rFonts w:cstheme="minorHAnsi"/>
        </w:rPr>
      </w:pPr>
      <w:r w:rsidRPr="008A3C56">
        <w:rPr>
          <w:rFonts w:cstheme="minorHAnsi"/>
        </w:rPr>
        <w:t>Kritērijs tiek vērtēts atbilstoši Eiropas Parlamenta un Padomes Regulas (ES) 2020/852 (2020. gada 18. jūnijs) par regulējuma izveidi ilgtspējīgu ieguldījumu veicināšanai un ar ko groza Regulu (ES) 2019/2088 (Dokuments attiecas uz EEZ) 17.pantā norādītajiem kritērijiem.</w:t>
      </w:r>
    </w:p>
    <w:p w14:paraId="22FE2CC4" w14:textId="77777777" w:rsidR="00132309" w:rsidRPr="008A3C56" w:rsidRDefault="00132309" w:rsidP="00132309">
      <w:pPr>
        <w:rPr>
          <w:rFonts w:cstheme="minorHAnsi"/>
        </w:rPr>
      </w:pPr>
      <w:r w:rsidRPr="008A3C56">
        <w:rPr>
          <w:rFonts w:cstheme="minorHAnsi"/>
        </w:rPr>
        <w:t>Kritērijā tiek piemērots vērtējums “Nē - 0”, ja ņemot vērā pētniecības laikā vai projekta rezultātā radīto produktu un pakalpojumu aprites ciklu, tostarp atziņas, kas gūtas no esošiem aprites cikla izvērtējumiem, uzskata, ka minētā darbība būtiski kaitē:</w:t>
      </w:r>
    </w:p>
    <w:p w14:paraId="0C0823BD" w14:textId="77777777" w:rsidR="00132309" w:rsidRPr="008A3C56" w:rsidRDefault="00132309" w:rsidP="00132309">
      <w:pPr>
        <w:numPr>
          <w:ilvl w:val="0"/>
          <w:numId w:val="36"/>
        </w:numPr>
        <w:tabs>
          <w:tab w:val="left" w:pos="851"/>
        </w:tabs>
        <w:spacing w:line="256" w:lineRule="auto"/>
        <w:ind w:right="543"/>
        <w:rPr>
          <w:rFonts w:eastAsia="Segoe UI" w:cstheme="minorHAnsi"/>
        </w:rPr>
      </w:pPr>
      <w:r w:rsidRPr="008A3C56">
        <w:rPr>
          <w:rFonts w:eastAsia="Segoe UI" w:cstheme="minorHAnsi"/>
        </w:rPr>
        <w:t>klimata pārmaiņu mazināšanai, ja minētās darbības rezultātā rodas ievērojamas siltumnīcefekta gāzu emisijas;</w:t>
      </w:r>
    </w:p>
    <w:p w14:paraId="2F4FB68B" w14:textId="77777777" w:rsidR="00132309" w:rsidRPr="008A3C56" w:rsidRDefault="00132309" w:rsidP="00132309">
      <w:pPr>
        <w:numPr>
          <w:ilvl w:val="0"/>
          <w:numId w:val="36"/>
        </w:numPr>
        <w:tabs>
          <w:tab w:val="left" w:pos="851"/>
        </w:tabs>
        <w:spacing w:line="256" w:lineRule="auto"/>
        <w:ind w:right="543"/>
        <w:rPr>
          <w:rFonts w:eastAsia="Segoe UI" w:cstheme="minorHAnsi"/>
        </w:rPr>
      </w:pPr>
      <w:r w:rsidRPr="008A3C56">
        <w:rPr>
          <w:rFonts w:eastAsia="Segoe UI" w:cstheme="minorHAnsi"/>
        </w:rPr>
        <w:t>spējai pielāgoties klimata pārmaiņām, ja minētās darbības rezultātā rodas vēl nelabvēlīgāka ietekme uz pašreizējo klimatu un gaidāmo nākotnes klimatu, uz pašu darbību vai uz iedzīvotājiem, dabu vai aktīviem;</w:t>
      </w:r>
    </w:p>
    <w:p w14:paraId="201AC4C5" w14:textId="77777777" w:rsidR="00132309" w:rsidRPr="008A3C56" w:rsidRDefault="00132309" w:rsidP="00132309">
      <w:pPr>
        <w:numPr>
          <w:ilvl w:val="0"/>
          <w:numId w:val="36"/>
        </w:numPr>
        <w:tabs>
          <w:tab w:val="left" w:pos="851"/>
        </w:tabs>
        <w:spacing w:line="256" w:lineRule="auto"/>
        <w:ind w:right="543"/>
        <w:rPr>
          <w:rFonts w:eastAsia="Segoe UI" w:cstheme="minorHAnsi"/>
        </w:rPr>
      </w:pPr>
      <w:r w:rsidRPr="008A3C56">
        <w:rPr>
          <w:rFonts w:eastAsia="Segoe UI" w:cstheme="minorHAnsi"/>
        </w:rPr>
        <w:t>ilgtspējīgai ūdens un jūras resursu izmantošanai un aizsardzībai, ja minētā darbība kaitē:</w:t>
      </w:r>
    </w:p>
    <w:p w14:paraId="3DFB7DFA" w14:textId="77777777" w:rsidR="00132309" w:rsidRPr="008A3C56" w:rsidRDefault="00132309" w:rsidP="00132309">
      <w:pPr>
        <w:numPr>
          <w:ilvl w:val="1"/>
          <w:numId w:val="36"/>
        </w:numPr>
        <w:tabs>
          <w:tab w:val="left" w:pos="851"/>
        </w:tabs>
        <w:spacing w:line="256" w:lineRule="auto"/>
        <w:ind w:right="543"/>
        <w:rPr>
          <w:rFonts w:eastAsia="Segoe UI" w:cstheme="minorHAnsi"/>
        </w:rPr>
      </w:pPr>
      <w:r w:rsidRPr="008A3C56">
        <w:rPr>
          <w:rFonts w:eastAsia="Segoe UI" w:cstheme="minorHAnsi"/>
        </w:rPr>
        <w:t>ūdensobjektu labam stāvoklim vai to labam ekoloģiskajam potenciālam, ieskaitot virszemes ūdeņus un gruntsūdeņus; vai</w:t>
      </w:r>
    </w:p>
    <w:p w14:paraId="741CB370" w14:textId="77777777" w:rsidR="00132309" w:rsidRPr="008A3C56" w:rsidRDefault="00132309" w:rsidP="00132309">
      <w:pPr>
        <w:numPr>
          <w:ilvl w:val="1"/>
          <w:numId w:val="36"/>
        </w:numPr>
        <w:tabs>
          <w:tab w:val="left" w:pos="851"/>
        </w:tabs>
        <w:spacing w:line="256" w:lineRule="auto"/>
        <w:ind w:right="543"/>
        <w:rPr>
          <w:rFonts w:eastAsia="Segoe UI" w:cstheme="minorHAnsi"/>
        </w:rPr>
      </w:pPr>
      <w:r w:rsidRPr="008A3C56">
        <w:rPr>
          <w:rFonts w:eastAsia="Segoe UI" w:cstheme="minorHAnsi"/>
        </w:rPr>
        <w:t>jūras ūdeņu labam vides stāvoklim;</w:t>
      </w:r>
    </w:p>
    <w:p w14:paraId="0C1CC4CE" w14:textId="77777777" w:rsidR="00132309" w:rsidRPr="008A3C56" w:rsidRDefault="00132309" w:rsidP="00132309">
      <w:pPr>
        <w:numPr>
          <w:ilvl w:val="0"/>
          <w:numId w:val="36"/>
        </w:numPr>
        <w:tabs>
          <w:tab w:val="left" w:pos="851"/>
        </w:tabs>
        <w:spacing w:line="256" w:lineRule="auto"/>
        <w:ind w:right="543"/>
        <w:rPr>
          <w:rFonts w:eastAsia="Segoe UI" w:cstheme="minorHAnsi"/>
        </w:rPr>
      </w:pPr>
      <w:r w:rsidRPr="008A3C56">
        <w:rPr>
          <w:rFonts w:eastAsia="Segoe UI" w:cstheme="minorHAnsi"/>
        </w:rPr>
        <w:t>aprites ekonomikai, tostarp atkritumu rašanās novēršanai un reciklēšanai, ja:</w:t>
      </w:r>
    </w:p>
    <w:p w14:paraId="46B6C2B7" w14:textId="77777777" w:rsidR="00132309" w:rsidRPr="008A3C56" w:rsidRDefault="00132309" w:rsidP="00132309">
      <w:pPr>
        <w:numPr>
          <w:ilvl w:val="1"/>
          <w:numId w:val="36"/>
        </w:numPr>
        <w:tabs>
          <w:tab w:val="left" w:pos="851"/>
        </w:tabs>
        <w:spacing w:line="256" w:lineRule="auto"/>
        <w:ind w:right="543"/>
        <w:rPr>
          <w:rFonts w:eastAsia="Segoe UI" w:cstheme="minorHAnsi"/>
        </w:rPr>
      </w:pPr>
      <w:r w:rsidRPr="008A3C56">
        <w:rPr>
          <w:rFonts w:eastAsia="Segoe UI" w:cstheme="minorHAnsi"/>
        </w:rPr>
        <w:lastRenderedPageBreak/>
        <w:t>minētās darbības rezultātā vienā vai vairākos produktu aprites cikla posmos rodas būtiski efektivitātes trūkumi materiālu izmantošanā vai tādu dabas resursu tiešā vai netiešā izmantošanā kā neatjaunojami energoresursi, izejvielas, ūdens un zeme, tostarp produktu ilgizturības, remontējamības, modernizējamības, atkārtotas lietojamības vai reciklējamības ziņā;</w:t>
      </w:r>
    </w:p>
    <w:p w14:paraId="6C58C2F1" w14:textId="77777777" w:rsidR="00132309" w:rsidRPr="008A3C56" w:rsidRDefault="00132309" w:rsidP="00132309">
      <w:pPr>
        <w:numPr>
          <w:ilvl w:val="1"/>
          <w:numId w:val="36"/>
        </w:numPr>
        <w:tabs>
          <w:tab w:val="left" w:pos="851"/>
        </w:tabs>
        <w:spacing w:line="256" w:lineRule="auto"/>
        <w:ind w:right="543"/>
        <w:rPr>
          <w:rFonts w:eastAsia="Segoe UI" w:cstheme="minorHAnsi"/>
        </w:rPr>
      </w:pPr>
      <w:r w:rsidRPr="008A3C56">
        <w:rPr>
          <w:rFonts w:eastAsia="Segoe UI" w:cstheme="minorHAnsi"/>
        </w:rPr>
        <w:t>minētās darbības rezultātā būtiski palielinās atkritumu rašanās, sadedzināšana vai apglabāšana, izņemot nepārstrādājamu bīstamo atkritumu sadedzināšanu; vai</w:t>
      </w:r>
    </w:p>
    <w:p w14:paraId="243B76F0" w14:textId="77777777" w:rsidR="00132309" w:rsidRPr="008A3C56" w:rsidRDefault="00132309" w:rsidP="00132309">
      <w:pPr>
        <w:numPr>
          <w:ilvl w:val="1"/>
          <w:numId w:val="36"/>
        </w:numPr>
        <w:tabs>
          <w:tab w:val="left" w:pos="851"/>
        </w:tabs>
        <w:spacing w:line="256" w:lineRule="auto"/>
        <w:ind w:right="543"/>
        <w:rPr>
          <w:rFonts w:eastAsia="Segoe UI" w:cstheme="minorHAnsi"/>
        </w:rPr>
      </w:pPr>
      <w:r w:rsidRPr="008A3C56">
        <w:rPr>
          <w:rFonts w:eastAsia="Segoe UI" w:cstheme="minorHAnsi"/>
        </w:rPr>
        <w:t>atkritumu ilgtermiņa apglabāšana var radīt būtisku un ilgtermiņa kaitējumu videi;</w:t>
      </w:r>
    </w:p>
    <w:p w14:paraId="184E9182" w14:textId="77777777" w:rsidR="00132309" w:rsidRPr="008A3C56" w:rsidRDefault="00132309" w:rsidP="00132309">
      <w:pPr>
        <w:numPr>
          <w:ilvl w:val="0"/>
          <w:numId w:val="36"/>
        </w:numPr>
        <w:tabs>
          <w:tab w:val="left" w:pos="851"/>
        </w:tabs>
        <w:spacing w:line="256" w:lineRule="auto"/>
        <w:ind w:right="543"/>
        <w:rPr>
          <w:rFonts w:eastAsia="Segoe UI" w:cstheme="minorHAnsi"/>
        </w:rPr>
      </w:pPr>
      <w:r w:rsidRPr="008A3C56">
        <w:rPr>
          <w:rFonts w:eastAsia="Segoe UI" w:cstheme="minorHAnsi"/>
        </w:rPr>
        <w:t>piesārņojuma novēršanai un kontrolei, ja minētās darbības rezultātā būtiski palielinās piesārņotāju emisijas gaisā, ūdenī vai zemē salīdzinājumā ar situāciju pirms darbības sākšanas; vai</w:t>
      </w:r>
    </w:p>
    <w:p w14:paraId="1930E42C" w14:textId="77777777" w:rsidR="00132309" w:rsidRPr="008A3C56" w:rsidRDefault="00132309" w:rsidP="00132309">
      <w:pPr>
        <w:numPr>
          <w:ilvl w:val="0"/>
          <w:numId w:val="36"/>
        </w:numPr>
        <w:tabs>
          <w:tab w:val="left" w:pos="851"/>
        </w:tabs>
        <w:spacing w:line="256" w:lineRule="auto"/>
        <w:ind w:right="543"/>
        <w:rPr>
          <w:rFonts w:eastAsia="Segoe UI" w:cstheme="minorHAnsi"/>
        </w:rPr>
      </w:pPr>
      <w:r w:rsidRPr="008A3C56">
        <w:rPr>
          <w:rFonts w:eastAsia="Segoe UI" w:cstheme="minorHAnsi"/>
        </w:rPr>
        <w:t>bioloģiskās daudzveidības un ekosistēmu aizsardzībai un atjaunošanai, ja minētā darbība:</w:t>
      </w:r>
    </w:p>
    <w:p w14:paraId="03AE2B74" w14:textId="77777777" w:rsidR="00132309" w:rsidRPr="008A3C56" w:rsidRDefault="00132309" w:rsidP="00132309">
      <w:pPr>
        <w:numPr>
          <w:ilvl w:val="1"/>
          <w:numId w:val="36"/>
        </w:numPr>
        <w:tabs>
          <w:tab w:val="left" w:pos="851"/>
        </w:tabs>
        <w:spacing w:line="256" w:lineRule="auto"/>
        <w:ind w:right="543"/>
        <w:rPr>
          <w:rFonts w:eastAsia="Segoe UI" w:cstheme="minorHAnsi"/>
        </w:rPr>
      </w:pPr>
      <w:r w:rsidRPr="008A3C56">
        <w:rPr>
          <w:rFonts w:eastAsia="Segoe UI" w:cstheme="minorHAnsi"/>
        </w:rPr>
        <w:t>būtiski kaitē ekosistēmu labam stāvoklim un izturētspējai; vai</w:t>
      </w:r>
    </w:p>
    <w:p w14:paraId="4BC5AED9" w14:textId="77777777" w:rsidR="00132309" w:rsidRPr="008A3C56" w:rsidRDefault="00132309" w:rsidP="00132309">
      <w:pPr>
        <w:numPr>
          <w:ilvl w:val="1"/>
          <w:numId w:val="36"/>
        </w:numPr>
        <w:tabs>
          <w:tab w:val="left" w:pos="851"/>
        </w:tabs>
        <w:spacing w:line="256" w:lineRule="auto"/>
        <w:ind w:right="543"/>
        <w:rPr>
          <w:rFonts w:eastAsia="Segoe UI" w:cstheme="minorHAnsi"/>
        </w:rPr>
      </w:pPr>
      <w:r w:rsidRPr="008A3C56">
        <w:rPr>
          <w:rFonts w:eastAsia="Segoe UI" w:cstheme="minorHAnsi"/>
        </w:rPr>
        <w:t>kaitē dzīvotņu un sugu, tostarp Savienības nozīmes dzīvotņu un sugu, aizsardzības statusam.</w:t>
      </w:r>
    </w:p>
    <w:p w14:paraId="79D18D06" w14:textId="77777777" w:rsidR="00132309" w:rsidRPr="008A3C56" w:rsidRDefault="00132309" w:rsidP="00132309">
      <w:pPr>
        <w:rPr>
          <w:rFonts w:eastAsia="Segoe UI" w:cstheme="minorHAnsi"/>
        </w:rPr>
      </w:pPr>
      <w:r w:rsidRPr="008A3C56">
        <w:rPr>
          <w:rFonts w:eastAsia="Segoe UI" w:cstheme="minorHAnsi"/>
        </w:rPr>
        <w:t>Kritērijā tiek piemērots vērtējums “Jā - 1”, ja, ņemot vērā pētniecības laikā vai projekta rezultātā radīto produktu un pakalpojumu aprites ciklu, tostarp atziņas, kas gūtas no esošiem aprites cikla izvērtējumiem, uzskata, ka minētā darbība būtiski nekaitē norādītajiem kritērijiem.</w:t>
      </w:r>
    </w:p>
    <w:p w14:paraId="4FC4F7B6" w14:textId="25A11C3A" w:rsidR="006A1967" w:rsidRPr="00DE11E1" w:rsidRDefault="00132309" w:rsidP="006A1967">
      <w:pPr>
        <w:spacing w:before="0"/>
        <w:rPr>
          <w:rFonts w:cstheme="minorHAnsi"/>
          <w:lang w:eastAsia="lv-LV"/>
        </w:rPr>
      </w:pPr>
      <w:r w:rsidRPr="008A3C56">
        <w:rPr>
          <w:rFonts w:eastAsia="Segoe UI" w:cstheme="minorHAnsi"/>
        </w:rPr>
        <w:t>Novērtējot darbību pēc izklāstītajiem kritērijiem, ņem vērā gan pašas darbības ietekmi uz vidi, gan minētās darbības radīto produktu un pakalpojumu ietekmi uz vidi visā to aprites ciklā, jo īpaši apsverot minēto produktu un pakalpojumu ražošanu, izmantošanu un aprites cikla beigas.</w:t>
      </w:r>
    </w:p>
    <w:p w14:paraId="3E98DF54" w14:textId="77777777" w:rsidR="006C196B" w:rsidRDefault="006C196B" w:rsidP="00E74E68">
      <w:pPr>
        <w:rPr>
          <w:b/>
        </w:rPr>
      </w:pPr>
    </w:p>
    <w:p w14:paraId="71DE1D63" w14:textId="77777777" w:rsidR="006C196B" w:rsidRPr="002319D2" w:rsidRDefault="006C196B" w:rsidP="006F31C1">
      <w:pPr>
        <w:pStyle w:val="Heading3"/>
        <w:numPr>
          <w:ilvl w:val="2"/>
          <w:numId w:val="40"/>
        </w:numPr>
      </w:pPr>
      <w:r w:rsidRPr="002319D2">
        <w:t>Nosacījumi, lai pētniecības projekts tiktu apstiprināts</w:t>
      </w:r>
    </w:p>
    <w:p w14:paraId="262F2131" w14:textId="77777777" w:rsidR="0064760D" w:rsidRPr="008A3C56" w:rsidRDefault="0064760D" w:rsidP="0064760D">
      <w:pPr>
        <w:numPr>
          <w:ilvl w:val="0"/>
          <w:numId w:val="42"/>
        </w:numPr>
        <w:spacing w:after="0"/>
        <w:contextualSpacing/>
        <w:rPr>
          <w:rFonts w:eastAsia="Times New Roman" w:cstheme="minorHAnsi"/>
        </w:rPr>
      </w:pPr>
      <w:r w:rsidRPr="008A3C56">
        <w:rPr>
          <w:rFonts w:eastAsia="Times New Roman" w:cstheme="minorHAnsi"/>
        </w:rPr>
        <w:t>Jāsaņem pozitīvs vērtējums izslēdzošajos vērtēšanas kritērijos;</w:t>
      </w:r>
    </w:p>
    <w:p w14:paraId="79192D23" w14:textId="77777777" w:rsidR="0064760D" w:rsidRPr="008A3C56" w:rsidRDefault="0064760D" w:rsidP="0064760D">
      <w:pPr>
        <w:numPr>
          <w:ilvl w:val="0"/>
          <w:numId w:val="42"/>
        </w:numPr>
        <w:shd w:val="clear" w:color="auto" w:fill="auto"/>
        <w:spacing w:after="0"/>
        <w:contextualSpacing/>
        <w:rPr>
          <w:rFonts w:eastAsia="Times New Roman" w:cstheme="minorHAnsi"/>
        </w:rPr>
      </w:pPr>
      <w:r w:rsidRPr="008A3C56">
        <w:rPr>
          <w:rFonts w:eastAsia="Times New Roman" w:cstheme="minorHAnsi"/>
        </w:rPr>
        <w:t>Vērtējums vismaz "2" punkti ir jāsaņem katrā kvalitatīvajā kritērija vērtējumā;</w:t>
      </w:r>
    </w:p>
    <w:p w14:paraId="55E59DD6" w14:textId="5ED086F8" w:rsidR="0064760D" w:rsidRPr="008A3C56" w:rsidRDefault="0064760D" w:rsidP="0064760D">
      <w:pPr>
        <w:numPr>
          <w:ilvl w:val="1"/>
          <w:numId w:val="42"/>
        </w:numPr>
        <w:shd w:val="clear" w:color="auto" w:fill="auto"/>
        <w:spacing w:after="0"/>
        <w:ind w:left="1630" w:hanging="550"/>
        <w:contextualSpacing/>
        <w:rPr>
          <w:rFonts w:eastAsia="Times New Roman" w:cstheme="minorHAnsi"/>
        </w:rPr>
      </w:pPr>
      <w:r w:rsidRPr="008A3C56">
        <w:rPr>
          <w:rFonts w:eastAsia="Times New Roman" w:cstheme="minorHAnsi"/>
        </w:rPr>
        <w:t>Pie punktu skaitīšanas katrai grupai tiek vērtēts vidējais rezultāts. Piemēram, (punktu skaits "</w:t>
      </w:r>
      <w:r w:rsidR="002F44D3" w:rsidRPr="008A3C56">
        <w:rPr>
          <w:rFonts w:eastAsia="Times New Roman" w:cstheme="minorHAnsi"/>
        </w:rPr>
        <w:t>"Tēma un ideja" + "Ilgtspēja”)/</w:t>
      </w:r>
      <w:r w:rsidRPr="008A3C56">
        <w:rPr>
          <w:rFonts w:eastAsia="Times New Roman" w:cstheme="minorHAnsi"/>
        </w:rPr>
        <w:t>2.</w:t>
      </w:r>
    </w:p>
    <w:p w14:paraId="64E4F9F9" w14:textId="77777777" w:rsidR="0064760D" w:rsidRPr="008A3C56" w:rsidRDefault="0064760D" w:rsidP="0064760D">
      <w:pPr>
        <w:numPr>
          <w:ilvl w:val="1"/>
          <w:numId w:val="42"/>
        </w:numPr>
        <w:shd w:val="clear" w:color="auto" w:fill="auto"/>
        <w:spacing w:after="0"/>
        <w:ind w:left="1630" w:hanging="550"/>
        <w:contextualSpacing/>
        <w:rPr>
          <w:rFonts w:eastAsia="Times New Roman" w:cstheme="minorHAnsi"/>
        </w:rPr>
      </w:pPr>
      <w:r w:rsidRPr="008A3C56">
        <w:rPr>
          <w:rFonts w:eastAsia="Times New Roman" w:cstheme="minorHAnsi"/>
        </w:rPr>
        <w:t xml:space="preserve">Kad visām 3 grupām ir salikti rezultāti, saskaita punktu no katras grupas vidējā rezultāta. </w:t>
      </w:r>
    </w:p>
    <w:p w14:paraId="3F56C07D" w14:textId="77777777" w:rsidR="0064760D" w:rsidRPr="008A3C56" w:rsidRDefault="0064760D" w:rsidP="0064760D">
      <w:pPr>
        <w:numPr>
          <w:ilvl w:val="0"/>
          <w:numId w:val="42"/>
        </w:numPr>
        <w:shd w:val="clear" w:color="auto" w:fill="auto"/>
        <w:spacing w:after="0"/>
        <w:contextualSpacing/>
        <w:rPr>
          <w:rFonts w:eastAsia="Times New Roman" w:cstheme="minorHAnsi"/>
        </w:rPr>
      </w:pPr>
      <w:r w:rsidRPr="008A3C56">
        <w:rPr>
          <w:rFonts w:eastAsia="Times New Roman" w:cstheme="minorHAnsi"/>
        </w:rPr>
        <w:t>Kvalitatīvo kritēriju vērtējumā projekti tiek salīdzināti savā starpā vienas projektu atlases padomes sēdes ietvaros.</w:t>
      </w:r>
    </w:p>
    <w:p w14:paraId="7E235EFD" w14:textId="77777777" w:rsidR="0064760D" w:rsidRPr="008A3C56" w:rsidRDefault="0064760D" w:rsidP="0064760D">
      <w:pPr>
        <w:rPr>
          <w:rFonts w:cstheme="minorHAnsi"/>
        </w:rPr>
      </w:pPr>
      <w:r w:rsidRPr="008A3C56">
        <w:rPr>
          <w:rFonts w:cstheme="minorHAnsi"/>
        </w:rPr>
        <w:t>Ja vairākiem pētniecības projektiem ir vienāds punktu skaits, bet pieejamais finansējums nav pietiekošs visu pētniecības projektu apstiprināšanai, tad papildus tiek pielietoti sekojoši principi:</w:t>
      </w:r>
    </w:p>
    <w:p w14:paraId="2DFFF91C" w14:textId="77777777" w:rsidR="0064760D" w:rsidRPr="008A3C56" w:rsidRDefault="0064760D" w:rsidP="0064760D">
      <w:pPr>
        <w:pStyle w:val="ListParagraph"/>
        <w:keepLines w:val="0"/>
        <w:numPr>
          <w:ilvl w:val="0"/>
          <w:numId w:val="43"/>
        </w:numPr>
        <w:shd w:val="clear" w:color="auto" w:fill="auto"/>
        <w:spacing w:before="0"/>
        <w:rPr>
          <w:rFonts w:cstheme="minorHAnsi"/>
        </w:rPr>
      </w:pPr>
      <w:r w:rsidRPr="008A3C56">
        <w:rPr>
          <w:rFonts w:cstheme="minorHAnsi"/>
        </w:rPr>
        <w:t>priekšroka tiek dota pētniecības projektiem, kuros ir paredzēta starpnozaru un/vai starptautiska sadarbība;</w:t>
      </w:r>
    </w:p>
    <w:p w14:paraId="500481E9" w14:textId="77777777" w:rsidR="0064760D" w:rsidRPr="008A3C56" w:rsidRDefault="0064760D" w:rsidP="0064760D">
      <w:pPr>
        <w:pStyle w:val="ListParagraph"/>
        <w:keepLines w:val="0"/>
        <w:numPr>
          <w:ilvl w:val="0"/>
          <w:numId w:val="43"/>
        </w:numPr>
        <w:shd w:val="clear" w:color="auto" w:fill="auto"/>
        <w:spacing w:before="0"/>
        <w:rPr>
          <w:rFonts w:cstheme="minorHAnsi"/>
        </w:rPr>
      </w:pPr>
      <w:r w:rsidRPr="008A3C56">
        <w:rPr>
          <w:rFonts w:cstheme="minorHAnsi"/>
        </w:rPr>
        <w:t>priekšroka tiek dota pētniecības projektiem par eko-inovatīvu tehnoloģiju attīstību un ieviešanu;</w:t>
      </w:r>
    </w:p>
    <w:p w14:paraId="57F8A035" w14:textId="77777777" w:rsidR="0064760D" w:rsidRPr="008A3C56" w:rsidRDefault="0064760D" w:rsidP="0064760D">
      <w:pPr>
        <w:pStyle w:val="ListParagraph"/>
        <w:keepLines w:val="0"/>
        <w:numPr>
          <w:ilvl w:val="0"/>
          <w:numId w:val="43"/>
        </w:numPr>
        <w:shd w:val="clear" w:color="auto" w:fill="auto"/>
        <w:spacing w:before="0"/>
        <w:rPr>
          <w:rFonts w:cstheme="minorHAnsi"/>
        </w:rPr>
      </w:pPr>
      <w:r w:rsidRPr="008A3C56">
        <w:rPr>
          <w:rFonts w:cstheme="minorHAnsi"/>
        </w:rPr>
        <w:lastRenderedPageBreak/>
        <w:t>priekšroka tiek dota pētniecības projektiem, kam ir piešķirts izcilības zīmogs Eiropas Savienības pētniecības un inovāciju programmā "Apvārsnis Eiropa”;</w:t>
      </w:r>
    </w:p>
    <w:p w14:paraId="782705EA" w14:textId="77777777" w:rsidR="0064760D" w:rsidRPr="008A3C56" w:rsidRDefault="0064760D" w:rsidP="0064760D">
      <w:pPr>
        <w:pStyle w:val="ListParagraph"/>
        <w:keepLines w:val="0"/>
        <w:numPr>
          <w:ilvl w:val="0"/>
          <w:numId w:val="43"/>
        </w:numPr>
        <w:shd w:val="clear" w:color="auto" w:fill="auto"/>
        <w:spacing w:before="0"/>
        <w:rPr>
          <w:rFonts w:cstheme="minorHAnsi"/>
        </w:rPr>
      </w:pPr>
      <w:r w:rsidRPr="008A3C56">
        <w:rPr>
          <w:rFonts w:cstheme="minorHAnsi"/>
        </w:rPr>
        <w:t>tiek vērtēts iesaistīto sadarbības partneru kompetences palielinājums:</w:t>
      </w:r>
    </w:p>
    <w:p w14:paraId="0C1ADB18" w14:textId="77777777" w:rsidR="0064760D" w:rsidRPr="008A3C56" w:rsidRDefault="0064760D" w:rsidP="0064760D">
      <w:pPr>
        <w:pStyle w:val="ListParagraph"/>
        <w:keepLines w:val="0"/>
        <w:numPr>
          <w:ilvl w:val="1"/>
          <w:numId w:val="43"/>
        </w:numPr>
        <w:shd w:val="clear" w:color="auto" w:fill="auto"/>
        <w:spacing w:before="0"/>
        <w:rPr>
          <w:rFonts w:cstheme="minorHAnsi"/>
        </w:rPr>
      </w:pPr>
      <w:r w:rsidRPr="008A3C56">
        <w:rPr>
          <w:rFonts w:cstheme="minorHAnsi"/>
        </w:rPr>
        <w:t>kompetences palielinājumu demonstrē lielāks tādu izmaksu īpatsvars, kas ir saistītas ar zināšanu apstrādes, ieguves vai veidošanas aktivitātēm pašā uzņēmumā vai ar pētniecības projektu saistītā pētniecības organizācijā;</w:t>
      </w:r>
    </w:p>
    <w:p w14:paraId="7D53EF92" w14:textId="77777777" w:rsidR="0064760D" w:rsidRPr="008A3C56" w:rsidRDefault="0064760D" w:rsidP="0064760D">
      <w:pPr>
        <w:pStyle w:val="ListParagraph"/>
        <w:keepLines w:val="0"/>
        <w:numPr>
          <w:ilvl w:val="0"/>
          <w:numId w:val="43"/>
        </w:numPr>
        <w:shd w:val="clear" w:color="auto" w:fill="auto"/>
        <w:spacing w:before="0"/>
        <w:rPr>
          <w:rFonts w:cstheme="minorHAnsi"/>
        </w:rPr>
      </w:pPr>
      <w:r w:rsidRPr="008A3C56">
        <w:rPr>
          <w:rFonts w:cstheme="minorHAnsi"/>
        </w:rPr>
        <w:t>tiek vērtēts tuvums rezultātam – inovācijai:</w:t>
      </w:r>
    </w:p>
    <w:p w14:paraId="181ABBA9" w14:textId="77777777" w:rsidR="0064760D" w:rsidRPr="008A3C56" w:rsidRDefault="0064760D" w:rsidP="0064760D">
      <w:pPr>
        <w:pStyle w:val="ListParagraph"/>
        <w:keepLines w:val="0"/>
        <w:numPr>
          <w:ilvl w:val="1"/>
          <w:numId w:val="43"/>
        </w:numPr>
        <w:shd w:val="clear" w:color="auto" w:fill="auto"/>
        <w:spacing w:before="0"/>
        <w:rPr>
          <w:rFonts w:cstheme="minorHAnsi"/>
        </w:rPr>
      </w:pPr>
      <w:r w:rsidRPr="008A3C56">
        <w:rPr>
          <w:rFonts w:cstheme="minorHAnsi"/>
        </w:rPr>
        <w:t>prioritāri atbalsta pētniecības projektu ar augstāku TRL līmeni, vai pēc augstāka eksperimentālās izstrādes izmaksu īpatsvara pret kopējo projekta budžetu;</w:t>
      </w:r>
    </w:p>
    <w:p w14:paraId="549E138A" w14:textId="77777777" w:rsidR="0064760D" w:rsidRPr="008A3C56" w:rsidRDefault="0064760D" w:rsidP="0064760D">
      <w:pPr>
        <w:pStyle w:val="ListParagraph"/>
        <w:keepLines w:val="0"/>
        <w:numPr>
          <w:ilvl w:val="0"/>
          <w:numId w:val="43"/>
        </w:numPr>
        <w:shd w:val="clear" w:color="auto" w:fill="auto"/>
        <w:spacing w:before="0"/>
        <w:rPr>
          <w:rFonts w:cstheme="minorHAnsi"/>
        </w:rPr>
      </w:pPr>
      <w:r w:rsidRPr="008A3C56">
        <w:rPr>
          <w:rFonts w:cstheme="minorHAnsi"/>
        </w:rPr>
        <w:t>tiek vērtēta spēja sasniegt pozitīvu rezultātu:</w:t>
      </w:r>
    </w:p>
    <w:p w14:paraId="4F608A78" w14:textId="77777777" w:rsidR="0064760D" w:rsidRPr="008A3C56" w:rsidRDefault="0064760D" w:rsidP="0064760D">
      <w:pPr>
        <w:pStyle w:val="ListParagraph"/>
        <w:keepLines w:val="0"/>
        <w:numPr>
          <w:ilvl w:val="1"/>
          <w:numId w:val="43"/>
        </w:numPr>
        <w:shd w:val="clear" w:color="auto" w:fill="auto"/>
        <w:spacing w:before="0"/>
        <w:rPr>
          <w:rFonts w:cstheme="minorHAnsi"/>
        </w:rPr>
      </w:pPr>
      <w:r w:rsidRPr="008A3C56">
        <w:rPr>
          <w:rFonts w:cstheme="minorHAnsi"/>
        </w:rPr>
        <w:t>pētniecības projektā ir demonstrēta pieeja un uzņēmuma kapacitāte, kas ticami noved pie jaunas tehnoloģijas vai produkta. Jaunu produktu skaits un to potenciālā ietekme uz nozares uzņēmumu Latvijā attiecībā pret pieprasīto finansējumu;</w:t>
      </w:r>
    </w:p>
    <w:p w14:paraId="45AD08AB" w14:textId="77777777" w:rsidR="0064760D" w:rsidRPr="008A3C56" w:rsidRDefault="0064760D" w:rsidP="0064760D">
      <w:pPr>
        <w:pStyle w:val="ListParagraph"/>
        <w:keepLines w:val="0"/>
        <w:numPr>
          <w:ilvl w:val="1"/>
          <w:numId w:val="43"/>
        </w:numPr>
        <w:shd w:val="clear" w:color="auto" w:fill="auto"/>
        <w:spacing w:before="0"/>
        <w:rPr>
          <w:rFonts w:cstheme="minorHAnsi"/>
        </w:rPr>
      </w:pPr>
      <w:r w:rsidRPr="008A3C56">
        <w:rPr>
          <w:rFonts w:cstheme="minorHAnsi"/>
        </w:rPr>
        <w:t>iespējami un ticami intelektuālā īpašuma objekti;</w:t>
      </w:r>
    </w:p>
    <w:p w14:paraId="1A325141" w14:textId="77777777" w:rsidR="0064760D" w:rsidRPr="008A3C56" w:rsidRDefault="0064760D" w:rsidP="0064760D">
      <w:pPr>
        <w:pStyle w:val="ListParagraph"/>
        <w:keepLines w:val="0"/>
        <w:numPr>
          <w:ilvl w:val="1"/>
          <w:numId w:val="43"/>
        </w:numPr>
        <w:shd w:val="clear" w:color="auto" w:fill="auto"/>
        <w:spacing w:before="0"/>
        <w:rPr>
          <w:rFonts w:cstheme="minorHAnsi"/>
        </w:rPr>
      </w:pPr>
      <w:r w:rsidRPr="008A3C56">
        <w:rPr>
          <w:rFonts w:cstheme="minorHAnsi"/>
        </w:rPr>
        <w:t>pētniecības projekta ietvaros radītajam produktam ir pozitīvs eksportspējas potenciāls un/vai ievērojama ietekme uz Latvijas tautsaimniecību (tās transformāciju);</w:t>
      </w:r>
    </w:p>
    <w:p w14:paraId="1763E8E2" w14:textId="77777777" w:rsidR="0064760D" w:rsidRPr="008A3C56" w:rsidRDefault="0064760D" w:rsidP="0064760D">
      <w:pPr>
        <w:rPr>
          <w:rFonts w:cstheme="minorHAnsi"/>
        </w:rPr>
      </w:pPr>
      <w:r w:rsidRPr="008A3C56">
        <w:rPr>
          <w:rFonts w:cstheme="minorHAnsi"/>
        </w:rPr>
        <w:t>Ja pētniecības projektiem pēc papildus principu piemērošanas ir vienāds punktu skaits, tad visi vienādo punktu skaita pētniecības projektu pieteicēji netiek apstiprināti un var atkārtoti iesniegt precizētos pētniecības projekta pieteikumus.</w:t>
      </w:r>
    </w:p>
    <w:p w14:paraId="6EE9D767" w14:textId="77777777" w:rsidR="0064760D" w:rsidRPr="008A3C56" w:rsidRDefault="0064760D" w:rsidP="0064760D">
      <w:pPr>
        <w:rPr>
          <w:rFonts w:cstheme="minorHAnsi"/>
          <w:b/>
        </w:rPr>
      </w:pPr>
      <w:r w:rsidRPr="008A3C56">
        <w:rPr>
          <w:rFonts w:cstheme="minorHAnsi"/>
          <w:b/>
        </w:rPr>
        <w:t xml:space="preserve">Tiek ievērots, ka: </w:t>
      </w:r>
    </w:p>
    <w:p w14:paraId="1BF97831" w14:textId="77777777" w:rsidR="0064760D" w:rsidRPr="00E62F6B" w:rsidRDefault="0064760D" w:rsidP="0064760D">
      <w:pPr>
        <w:pStyle w:val="ListParagraph"/>
        <w:numPr>
          <w:ilvl w:val="0"/>
          <w:numId w:val="51"/>
        </w:numPr>
        <w:shd w:val="clear" w:color="auto" w:fill="auto"/>
        <w:spacing w:after="0"/>
        <w:rPr>
          <w:rFonts w:cstheme="minorHAnsi"/>
        </w:rPr>
      </w:pPr>
      <w:r w:rsidRPr="008A3C56">
        <w:rPr>
          <w:rFonts w:cstheme="minorHAnsi"/>
        </w:rPr>
        <w:t>Atbalsts tiek sniegts tikai tādām projekta darbībām, kas tiek uzsāktas pēc projekta iesnieguma iesniegšanas dienas CFLA. Izmaksu attiecināmība sākas no projekta iesnieguma vai projekta iesnieguma iesniegšanas dienas CFLA,</w:t>
      </w:r>
    </w:p>
    <w:p w14:paraId="4C84A752" w14:textId="77777777" w:rsidR="0064760D" w:rsidRPr="00E62F6B" w:rsidRDefault="0064760D" w:rsidP="0064760D">
      <w:pPr>
        <w:pStyle w:val="ListParagraph"/>
        <w:numPr>
          <w:ilvl w:val="0"/>
          <w:numId w:val="51"/>
        </w:numPr>
        <w:shd w:val="clear" w:color="auto" w:fill="auto"/>
        <w:spacing w:after="0"/>
        <w:rPr>
          <w:rFonts w:cstheme="minorHAnsi"/>
        </w:rPr>
      </w:pPr>
      <w:r w:rsidRPr="008A3C56">
        <w:rPr>
          <w:rFonts w:cstheme="minorHAnsi"/>
        </w:rPr>
        <w:t>tiks īstenots apstiprinātais projekts, par kuru saņemts CFLA lēmums par valsts atbalsta piešķiršanu,</w:t>
      </w:r>
    </w:p>
    <w:p w14:paraId="1813E57C" w14:textId="77777777" w:rsidR="0064760D" w:rsidRPr="00E62F6B" w:rsidRDefault="0064760D" w:rsidP="0064760D">
      <w:pPr>
        <w:pStyle w:val="ListParagraph"/>
        <w:numPr>
          <w:ilvl w:val="0"/>
          <w:numId w:val="51"/>
        </w:numPr>
        <w:shd w:val="clear" w:color="auto" w:fill="auto"/>
        <w:spacing w:after="0"/>
        <w:rPr>
          <w:rFonts w:cstheme="minorHAnsi"/>
        </w:rPr>
      </w:pPr>
      <w:r w:rsidRPr="008A3C56">
        <w:rPr>
          <w:rFonts w:cstheme="minorHAnsi"/>
        </w:rPr>
        <w:t>PAP lēmums par pētījuma pieteikuma virzību uz CFLA stājas spēkā tā pieņemšanas brīdī,</w:t>
      </w:r>
    </w:p>
    <w:p w14:paraId="4E5780B7" w14:textId="77777777" w:rsidR="0064760D" w:rsidRPr="00E62F6B" w:rsidRDefault="0064760D" w:rsidP="0064760D">
      <w:pPr>
        <w:pStyle w:val="ListParagraph"/>
        <w:numPr>
          <w:ilvl w:val="0"/>
          <w:numId w:val="51"/>
        </w:numPr>
        <w:shd w:val="clear" w:color="auto" w:fill="auto"/>
        <w:spacing w:after="0"/>
        <w:rPr>
          <w:rFonts w:cstheme="minorHAnsi"/>
        </w:rPr>
      </w:pPr>
      <w:r w:rsidRPr="008A3C56">
        <w:rPr>
          <w:rFonts w:cstheme="minorHAnsi"/>
        </w:rPr>
        <w:t>PAP izvērtē sadarbības partneru atbilstību valsts atbalsta nosacījumiem, lai pētījuma projekta ieviešanas stadijā samazinātu neatbilstošu izdevumu iestāšanās risku un efektivizētu projektu izvērtēšanas procesu,</w:t>
      </w:r>
    </w:p>
    <w:p w14:paraId="0DF1CEF1" w14:textId="77777777" w:rsidR="0064760D" w:rsidRPr="00E62F6B" w:rsidRDefault="0064760D" w:rsidP="0064760D">
      <w:pPr>
        <w:pStyle w:val="ListParagraph"/>
        <w:numPr>
          <w:ilvl w:val="0"/>
          <w:numId w:val="51"/>
        </w:numPr>
        <w:shd w:val="clear" w:color="auto" w:fill="auto"/>
        <w:spacing w:after="0"/>
        <w:rPr>
          <w:rFonts w:cstheme="minorHAnsi"/>
        </w:rPr>
      </w:pPr>
      <w:r w:rsidRPr="008A3C56">
        <w:rPr>
          <w:rFonts w:cstheme="minorHAnsi"/>
        </w:rPr>
        <w:t>PAP pozitīvo lēmumu par pētījuma pieteikuma virzību un tā pielikumus (iesniegtā projekta pieteikuma veidlapa, izmaksu tāme, mazo un vidēju uzņēmumu deklarācija) nosūta apstiprināšanai CFLA. CFLA pieņem lēmumu par PAP apstiprināto projektu.</w:t>
      </w:r>
    </w:p>
    <w:p w14:paraId="109C9A97" w14:textId="77777777" w:rsidR="0064760D" w:rsidRPr="008A3C56" w:rsidRDefault="0064760D" w:rsidP="0064760D">
      <w:pPr>
        <w:pStyle w:val="ListParagraph"/>
        <w:numPr>
          <w:ilvl w:val="0"/>
          <w:numId w:val="51"/>
        </w:numPr>
        <w:shd w:val="clear" w:color="auto" w:fill="auto"/>
        <w:spacing w:after="0"/>
        <w:rPr>
          <w:rFonts w:cstheme="minorHAnsi"/>
        </w:rPr>
      </w:pPr>
      <w:r w:rsidRPr="008A3C56">
        <w:rPr>
          <w:rFonts w:cstheme="minorHAnsi"/>
        </w:rPr>
        <w:t xml:space="preserve">Projekta iesniegumā ir apliecināts, ka KC, individuālā pētījuma īstenotājs un sadarbības pētījuma īstenotāji projektā paredzētās pētniecības un attīstības darbības nav uzsākuši pirms projekta iesniegšanas CFLA. </w:t>
      </w:r>
    </w:p>
    <w:p w14:paraId="62E35EAE" w14:textId="77777777" w:rsidR="0064760D" w:rsidRPr="00E62F6B" w:rsidRDefault="0064760D" w:rsidP="0064760D">
      <w:pPr>
        <w:rPr>
          <w:rFonts w:cstheme="minorHAnsi"/>
        </w:rPr>
      </w:pPr>
    </w:p>
    <w:p w14:paraId="47B43285" w14:textId="77777777" w:rsidR="0064760D" w:rsidRPr="008A3C56" w:rsidRDefault="0064760D" w:rsidP="0064760D">
      <w:pPr>
        <w:rPr>
          <w:rFonts w:cstheme="minorHAnsi"/>
        </w:rPr>
      </w:pPr>
      <w:r w:rsidRPr="008A3C56">
        <w:rPr>
          <w:rFonts w:cstheme="minorHAnsi"/>
        </w:rPr>
        <w:t>KC, pēc PAP sēdē izvērtētajiem projektiem, lemj par to projektu virzīšanu uz CFLA, kuri:</w:t>
      </w:r>
    </w:p>
    <w:p w14:paraId="6702F513" w14:textId="77777777" w:rsidR="0064760D" w:rsidRPr="008A3C56" w:rsidRDefault="0064760D" w:rsidP="0064760D">
      <w:pPr>
        <w:pStyle w:val="ListParagraph"/>
        <w:keepLines w:val="0"/>
        <w:numPr>
          <w:ilvl w:val="0"/>
          <w:numId w:val="52"/>
        </w:numPr>
        <w:shd w:val="clear" w:color="auto" w:fill="auto"/>
        <w:spacing w:before="0" w:after="0"/>
        <w:jc w:val="left"/>
        <w:rPr>
          <w:rFonts w:cstheme="minorHAnsi"/>
        </w:rPr>
      </w:pPr>
      <w:r w:rsidRPr="008A3C56">
        <w:rPr>
          <w:rFonts w:cstheme="minorHAnsi"/>
        </w:rPr>
        <w:t>katrā no sekojošiem vērtēšanas kritērijiem ir saņēmuši vidējo punktu vērtējumu “2” vai vairāk:</w:t>
      </w:r>
    </w:p>
    <w:p w14:paraId="7780D528" w14:textId="77777777" w:rsidR="0064760D" w:rsidRPr="008A3C56" w:rsidRDefault="0064760D" w:rsidP="0064760D">
      <w:pPr>
        <w:pStyle w:val="ListParagraph"/>
        <w:keepLines w:val="0"/>
        <w:numPr>
          <w:ilvl w:val="1"/>
          <w:numId w:val="52"/>
        </w:numPr>
        <w:shd w:val="clear" w:color="auto" w:fill="auto"/>
        <w:spacing w:before="0" w:after="0"/>
        <w:jc w:val="left"/>
        <w:rPr>
          <w:rFonts w:cstheme="minorHAnsi"/>
        </w:rPr>
      </w:pPr>
      <w:r w:rsidRPr="008A3C56">
        <w:rPr>
          <w:rFonts w:cstheme="minorHAnsi"/>
        </w:rPr>
        <w:t>Pētījuma kvalitātes vērtējums;</w:t>
      </w:r>
    </w:p>
    <w:p w14:paraId="247E5805" w14:textId="77777777" w:rsidR="0064760D" w:rsidRPr="008A3C56" w:rsidRDefault="0064760D" w:rsidP="0064760D">
      <w:pPr>
        <w:pStyle w:val="ListParagraph"/>
        <w:keepLines w:val="0"/>
        <w:numPr>
          <w:ilvl w:val="1"/>
          <w:numId w:val="52"/>
        </w:numPr>
        <w:shd w:val="clear" w:color="auto" w:fill="auto"/>
        <w:spacing w:before="0" w:after="0"/>
        <w:jc w:val="left"/>
        <w:rPr>
          <w:rFonts w:cstheme="minorHAnsi"/>
        </w:rPr>
      </w:pPr>
      <w:r w:rsidRPr="008A3C56">
        <w:rPr>
          <w:rFonts w:cstheme="minorHAnsi"/>
        </w:rPr>
        <w:t>Pētījuma ietekmes vērtējums;</w:t>
      </w:r>
    </w:p>
    <w:p w14:paraId="1E036E4B" w14:textId="77777777" w:rsidR="0064760D" w:rsidRPr="008A3C56" w:rsidRDefault="0064760D" w:rsidP="0064760D">
      <w:pPr>
        <w:pStyle w:val="ListParagraph"/>
        <w:keepLines w:val="0"/>
        <w:numPr>
          <w:ilvl w:val="1"/>
          <w:numId w:val="52"/>
        </w:numPr>
        <w:shd w:val="clear" w:color="auto" w:fill="auto"/>
        <w:spacing w:before="0" w:after="0"/>
        <w:jc w:val="left"/>
        <w:rPr>
          <w:rFonts w:cstheme="minorHAnsi"/>
        </w:rPr>
      </w:pPr>
      <w:r w:rsidRPr="008A3C56">
        <w:rPr>
          <w:rFonts w:cstheme="minorHAnsi"/>
        </w:rPr>
        <w:t>Pētījuma izpildes vērtējums.</w:t>
      </w:r>
    </w:p>
    <w:p w14:paraId="04AAE8C0" w14:textId="77777777" w:rsidR="0064760D" w:rsidRPr="008A3C56" w:rsidRDefault="0064760D" w:rsidP="0064760D">
      <w:pPr>
        <w:pStyle w:val="ListParagraph"/>
        <w:keepLines w:val="0"/>
        <w:numPr>
          <w:ilvl w:val="0"/>
          <w:numId w:val="52"/>
        </w:numPr>
        <w:shd w:val="clear" w:color="auto" w:fill="auto"/>
        <w:spacing w:before="0" w:after="0"/>
        <w:jc w:val="left"/>
        <w:rPr>
          <w:rFonts w:cstheme="minorHAnsi"/>
        </w:rPr>
      </w:pPr>
      <w:r w:rsidRPr="008A3C56">
        <w:rPr>
          <w:rFonts w:cstheme="minorHAnsi"/>
        </w:rPr>
        <w:t>Katrā no izslēdzošajiem vērtēšanas kritērijiem vairākums no PAP locekļiem ir balsojuši apstiprinoši (piešķīruši 1 punktu):</w:t>
      </w:r>
    </w:p>
    <w:p w14:paraId="2BAFB563" w14:textId="77777777" w:rsidR="0064760D" w:rsidRPr="008A3C56" w:rsidRDefault="0064760D" w:rsidP="0064760D">
      <w:pPr>
        <w:pStyle w:val="ListParagraph"/>
        <w:keepLines w:val="0"/>
        <w:numPr>
          <w:ilvl w:val="1"/>
          <w:numId w:val="52"/>
        </w:numPr>
        <w:shd w:val="clear" w:color="auto" w:fill="auto"/>
        <w:spacing w:before="0" w:after="0"/>
        <w:jc w:val="left"/>
        <w:rPr>
          <w:rFonts w:cstheme="minorHAnsi"/>
        </w:rPr>
      </w:pPr>
      <w:r w:rsidRPr="008A3C56">
        <w:rPr>
          <w:rFonts w:cstheme="minorHAnsi"/>
        </w:rPr>
        <w:lastRenderedPageBreak/>
        <w:t xml:space="preserve"> par pētniecības projekta atbilstību viedās specializācijas jomām vai uzņēmējdarbības atklājuma procesā noteiktajai specializācijas jomai vai apakšjomai;</w:t>
      </w:r>
    </w:p>
    <w:p w14:paraId="0ECE742E" w14:textId="77777777" w:rsidR="0064760D" w:rsidRPr="008A3C56" w:rsidRDefault="0064760D" w:rsidP="0064760D">
      <w:pPr>
        <w:pStyle w:val="ListParagraph"/>
        <w:keepLines w:val="0"/>
        <w:numPr>
          <w:ilvl w:val="1"/>
          <w:numId w:val="52"/>
        </w:numPr>
        <w:shd w:val="clear" w:color="auto" w:fill="auto"/>
        <w:spacing w:before="0" w:after="0"/>
        <w:jc w:val="left"/>
        <w:rPr>
          <w:rFonts w:cstheme="minorHAnsi"/>
        </w:rPr>
      </w:pPr>
      <w:r w:rsidRPr="008A3C56">
        <w:rPr>
          <w:rFonts w:cstheme="minorHAnsi"/>
        </w:rPr>
        <w:t xml:space="preserve">par pētniecības projekta atbilstību 4.‒8. tehnoloģiskās gatavības līmenim, </w:t>
      </w:r>
    </w:p>
    <w:p w14:paraId="214BBAB1" w14:textId="77777777" w:rsidR="0064760D" w:rsidRPr="008A3C56" w:rsidRDefault="0064760D" w:rsidP="0064760D">
      <w:pPr>
        <w:pStyle w:val="ListParagraph"/>
        <w:keepLines w:val="0"/>
        <w:numPr>
          <w:ilvl w:val="1"/>
          <w:numId w:val="52"/>
        </w:numPr>
        <w:shd w:val="clear" w:color="auto" w:fill="auto"/>
        <w:spacing w:before="0" w:after="0"/>
        <w:jc w:val="left"/>
        <w:rPr>
          <w:rFonts w:cstheme="minorHAnsi"/>
        </w:rPr>
      </w:pPr>
      <w:r w:rsidRPr="008A3C56">
        <w:rPr>
          <w:rFonts w:cstheme="minorHAnsi"/>
        </w:rPr>
        <w:t xml:space="preserve">Projekta atbilstība KC pētniecības virzienam; </w:t>
      </w:r>
    </w:p>
    <w:p w14:paraId="7145D1B1" w14:textId="77777777" w:rsidR="0064760D" w:rsidRPr="008A3C56" w:rsidRDefault="0064760D" w:rsidP="0064760D">
      <w:pPr>
        <w:pStyle w:val="ListParagraph"/>
        <w:keepLines w:val="0"/>
        <w:numPr>
          <w:ilvl w:val="1"/>
          <w:numId w:val="52"/>
        </w:numPr>
        <w:shd w:val="clear" w:color="auto" w:fill="auto"/>
        <w:spacing w:before="0" w:after="0"/>
        <w:jc w:val="left"/>
        <w:rPr>
          <w:rFonts w:cstheme="minorHAnsi"/>
        </w:rPr>
      </w:pPr>
      <w:r w:rsidRPr="008A3C56">
        <w:rPr>
          <w:rFonts w:cstheme="minorHAnsi"/>
        </w:rPr>
        <w:t>Principa "nenodarīt būtisku kaitējumu" ievērošana.</w:t>
      </w:r>
    </w:p>
    <w:p w14:paraId="1E8A78C0" w14:textId="77777777" w:rsidR="0064760D" w:rsidRPr="008A3C56" w:rsidRDefault="0064760D" w:rsidP="0064760D">
      <w:pPr>
        <w:rPr>
          <w:rFonts w:cstheme="minorHAnsi"/>
        </w:rPr>
      </w:pPr>
      <w:r w:rsidRPr="008A3C56">
        <w:rPr>
          <w:rFonts w:cstheme="minorHAnsi"/>
        </w:rPr>
        <w:t xml:space="preserve">Projektus ar augstāko kopējo punktu skaitu virza iesniegšanai CFLA līdz finansējuma pietiekamībai. </w:t>
      </w:r>
    </w:p>
    <w:p w14:paraId="4147248F" w14:textId="77777777" w:rsidR="0064760D" w:rsidRPr="008A3C56" w:rsidRDefault="0064760D" w:rsidP="0064760D">
      <w:pPr>
        <w:rPr>
          <w:rFonts w:cstheme="minorHAnsi"/>
        </w:rPr>
      </w:pPr>
      <w:r w:rsidRPr="008A3C56">
        <w:rPr>
          <w:rFonts w:cstheme="minorHAnsi"/>
        </w:rPr>
        <w:t>Ja projektu pieteicējam tiek konstatēts VID nodokļu parāds, kas pārsniedz 150 EUR uz projekta izskatīšanas brīdi PAP, bet vērtēšanas kritērijos projekts ir saņēmis pietiekamu punktu skaitu tā apstiprināšanai, tad projekts tiek apstiprināts ar nosacījumu, ka nodokļu parāds tiek nomaksāts līdz apstiprināto projektu saraksta iesniegšanai CFLA.</w:t>
      </w:r>
    </w:p>
    <w:p w14:paraId="61524E60" w14:textId="77777777" w:rsidR="0064760D" w:rsidRPr="008A3C56" w:rsidRDefault="0064760D" w:rsidP="0064760D">
      <w:pPr>
        <w:rPr>
          <w:rFonts w:cstheme="minorHAnsi"/>
        </w:rPr>
      </w:pPr>
      <w:r w:rsidRPr="008A3C56">
        <w:rPr>
          <w:rFonts w:cstheme="minorHAnsi"/>
        </w:rPr>
        <w:t>Ja uz apstiprināto projekta saraksta iesniegšanas brīdi CFLA, projekta iesniedzējam joprojām ir VID nodokļu parāds, kas pārsniedz 150 EUR, tad tiek virzīts nākamais augstākā vērtējuma ieguvušais projekts, ja šim iesniedzējam nav reģistrēti nodokļu parādi uz to brīdi.</w:t>
      </w:r>
    </w:p>
    <w:p w14:paraId="20C62AC1" w14:textId="138BDD17" w:rsidR="00E74E68" w:rsidRDefault="0064760D" w:rsidP="00E74E68">
      <w:r w:rsidRPr="008A3C56">
        <w:rPr>
          <w:rFonts w:cstheme="minorHAnsi"/>
        </w:rPr>
        <w:t>CFLA pieņem lēmumu par sarakstā iekļauto pētniecības apstiprināšanu un atbalsta piešķiršanu konkrētiem pētniecības projektiem.</w:t>
      </w:r>
    </w:p>
    <w:p w14:paraId="309FF58D" w14:textId="77777777" w:rsidR="00E708C1" w:rsidRPr="00CC5B5B" w:rsidRDefault="00E708C1" w:rsidP="006F31C1">
      <w:pPr>
        <w:pStyle w:val="Heading3"/>
        <w:numPr>
          <w:ilvl w:val="2"/>
          <w:numId w:val="40"/>
        </w:numPr>
      </w:pPr>
      <w:bookmarkStart w:id="101" w:name="_Toc113267428"/>
      <w:r w:rsidRPr="00CC5B5B">
        <w:t>Noraidāmie projektu pieteikumi un pārsūdzības kārtība</w:t>
      </w:r>
      <w:bookmarkEnd w:id="101"/>
    </w:p>
    <w:p w14:paraId="039BFC84" w14:textId="62E9EEBF" w:rsidR="00E708C1" w:rsidRPr="000C2F1E" w:rsidRDefault="00D63E38" w:rsidP="00E708C1">
      <w:r>
        <w:t>FMB</w:t>
      </w:r>
      <w:r w:rsidR="003F6D4E">
        <w:t>TKC</w:t>
      </w:r>
      <w:r w:rsidR="00E708C1" w:rsidRPr="000C2F1E">
        <w:t xml:space="preserve"> pētniecības projektu atlases process ir izveidots maksimāli atvērts komunikācijai un sadarbībai potenciālajiem Sadarbības partneriem, jo interesentiem ir pieejama ekspertīze un konsultācijas:</w:t>
      </w:r>
    </w:p>
    <w:p w14:paraId="123302B6" w14:textId="77777777" w:rsidR="00E708C1" w:rsidRPr="000C2F1E" w:rsidRDefault="00E708C1" w:rsidP="006F31C1">
      <w:pPr>
        <w:pStyle w:val="ListParagraph"/>
        <w:numPr>
          <w:ilvl w:val="0"/>
          <w:numId w:val="38"/>
        </w:numPr>
        <w:shd w:val="clear" w:color="auto" w:fill="auto"/>
        <w:spacing w:after="0"/>
      </w:pPr>
      <w:r w:rsidRPr="000C2F1E">
        <w:t>gan no kompetences centra vadības puses, kas pirmsšķietami spēj sniegt atgriezenisko saiti par</w:t>
      </w:r>
      <w:r w:rsidRPr="000C2F1E">
        <w:rPr>
          <w:rFonts w:ascii="Times New Roman" w:eastAsia="Calibri" w:hAnsi="Times New Roman" w:cs="Times New Roman"/>
        </w:rPr>
        <w:t xml:space="preserve"> </w:t>
      </w:r>
      <w:r w:rsidRPr="000C2F1E">
        <w:t>pētniecības projekta ideju, iespējamiem riskiem un sniegt ieteikumus;</w:t>
      </w:r>
    </w:p>
    <w:p w14:paraId="49FBC0C8" w14:textId="77777777" w:rsidR="00E708C1" w:rsidRPr="000C2F1E" w:rsidRDefault="00E708C1" w:rsidP="006F31C1">
      <w:pPr>
        <w:pStyle w:val="ListParagraph"/>
        <w:numPr>
          <w:ilvl w:val="0"/>
          <w:numId w:val="38"/>
        </w:numPr>
        <w:shd w:val="clear" w:color="auto" w:fill="auto"/>
        <w:spacing w:after="0"/>
      </w:pPr>
      <w:r w:rsidRPr="000C2F1E">
        <w:t>gan no piesaistītajiem ekspertiem, kas spēj pirmsšķietami izvērtēt uzņēmuma finanšu spējas, idejas atbilstību normatīvajiem regulējumiem, valsts atbalsta saņemšanas nosacījumiem un P&amp;A darbību atbilstībai EK regulas Nr. 651/2014 nosacījumiem.</w:t>
      </w:r>
    </w:p>
    <w:p w14:paraId="5A1F8921" w14:textId="77777777" w:rsidR="00E708C1" w:rsidRPr="000C2F1E" w:rsidRDefault="00E708C1" w:rsidP="00E708C1">
      <w:r w:rsidRPr="000C2F1E">
        <w:t>Sagatavošanās posmā (0. posms un 1.posms saskaņā ar “Kārtību, kādā kompetences centrs izvērtē pētniecības projektu pieteikumus”) ir pieejamas konsultācijas un palīdzība katram interesentam bez maksas. Šādas rīcības mērķis ir minimizēt iespēju pētniecības projektam tikt noraidītam 2.posmā jeb projektu atlases padomes sēdes laikā formālu nepilnību dēļ. Padomes sēdē vērtēšanai tiek piedāvāti formāli atbilstoši pētījumi tādā mērā, lai padomē esošie nozares eksperti un zinātnieki spētu koncentrēties uz projekta kvalitatīvo kritēriju izvērtējumu, patieso risku izvērtējumu un potenciālā Sadarbības partnera noderīgu rekomendāciju sniegšanai.</w:t>
      </w:r>
    </w:p>
    <w:p w14:paraId="06DC93FA" w14:textId="77777777" w:rsidR="00E708C1" w:rsidRPr="000C2F1E" w:rsidRDefault="00E708C1" w:rsidP="00E708C1">
      <w:r w:rsidRPr="000C2F1E">
        <w:lastRenderedPageBreak/>
        <w:t>Sagatavošanās posmā uz konkrētu projektu atlases padomes sēdi, kurā pieejams finansējums jauniem pētniecības projektiem, kompetences centra vadība patur iespējas visiem Sadarbības partneriem ieteikt samazināt pētniecības projektu budžetus līdz tādam apmēram, lai iespējami lielākam potenciālo Sadarbības partneru skaitam brīvais finansējums pietiktu ideju īstenošanai. Šādu rekomendāciju sniegšana potenciālajiem Sadarbības partneriem ir atbalstāma, ja tas samazina iespēju, ka kopējais pētniecības projektu portfelis, kas tiek piedāvāts konkrētai projektu atlases padomes sēdei, pārsniedz brīvo pieejamo finansējumu, piemēram, par dažiem tūkstošiem. Šādā gadījumā pētniecības projekts, kurš saņemtu zemāko novērtējumu projektu atlases padomē tiktu noraidīts nepietiekoša finansējuma dēļ. Kompetences centra vadībai nav tiesības atklāt citu potenciālo Sadarbības partneru budžetu apmērus vai idejas. Katrs potenciālais sadarbības ir tiesīgs gan ņemt, gan neņemt vērā kompetences centra vadības ieteikumus, kas vērsti virzienā uz projekta apjoma un/vai budžeta samazināšanu. Šādu ieteikumu raksturs nav vērsts uz projekta iespējamā kvalitātes vērtējuma ietekmēšanu vai iespējamu samazināšanu.</w:t>
      </w:r>
    </w:p>
    <w:p w14:paraId="5725A141" w14:textId="77777777" w:rsidR="00E708C1" w:rsidRPr="00CC5B5B" w:rsidRDefault="00E708C1" w:rsidP="00E708C1">
      <w:pPr>
        <w:rPr>
          <w:rFonts w:ascii="Calibri" w:eastAsia="Calibri" w:hAnsi="Calibri"/>
          <w:sz w:val="22"/>
        </w:rPr>
      </w:pPr>
      <w:r w:rsidRPr="000C2F1E">
        <w:t xml:space="preserve">Projektu atlases padome (2.posms saskaņā ar “Kārtību, kādā kompetences centrs izvērtē pētniecības projektu pieteikumus”) ir tiesīga pēc pētniecības </w:t>
      </w:r>
      <w:r w:rsidRPr="000C2F1E">
        <w:rPr>
          <w:rFonts w:cstheme="minorHAnsi"/>
        </w:rPr>
        <w:t>projekta prezentācijas un aizstāvēšanas atgriezt to iesniedzējam,</w:t>
      </w:r>
      <w:r w:rsidRPr="000C2F1E">
        <w:rPr>
          <w:rFonts w:eastAsia="Calibri" w:cstheme="minorHAnsi"/>
        </w:rPr>
        <w:t xml:space="preserve"> norādot uz konkrētiem trūkumiem pētījumā, kas būtu novēršami. Katram potenciālajam </w:t>
      </w:r>
      <w:r w:rsidRPr="000C2F1E">
        <w:rPr>
          <w:rFonts w:eastAsia="Calibri" w:cstheme="minorHAnsi"/>
          <w:b/>
          <w:bCs/>
        </w:rPr>
        <w:t>Sadarbības partnerim ir tiesības</w:t>
      </w:r>
      <w:r w:rsidRPr="000C2F1E">
        <w:rPr>
          <w:rFonts w:eastAsia="Calibri" w:cstheme="minorHAnsi"/>
        </w:rPr>
        <w:t xml:space="preserve"> pēc pētniecības projekta noraidījuma vai tā atgriešanas pārstrādei no</w:t>
      </w:r>
      <w:r w:rsidRPr="00CC5B5B">
        <w:rPr>
          <w:rFonts w:ascii="Times New Roman" w:eastAsia="Calibri" w:hAnsi="Times New Roman" w:cs="Times New Roman"/>
        </w:rPr>
        <w:t xml:space="preserve"> </w:t>
      </w:r>
      <w:r w:rsidRPr="000C2F1E">
        <w:rPr>
          <w:rFonts w:eastAsia="Calibri" w:cstheme="minorHAnsi"/>
          <w:noProof/>
        </w:rPr>
        <w:drawing>
          <wp:anchor distT="0" distB="0" distL="114300" distR="114300" simplePos="0" relativeHeight="251658244" behindDoc="0" locked="0" layoutInCell="1" allowOverlap="1" wp14:anchorId="480F49FB" wp14:editId="0D95FF8C">
            <wp:simplePos x="0" y="0"/>
            <wp:positionH relativeFrom="column">
              <wp:posOffset>-499745</wp:posOffset>
            </wp:positionH>
            <wp:positionV relativeFrom="paragraph">
              <wp:posOffset>367665</wp:posOffset>
            </wp:positionV>
            <wp:extent cx="6874510" cy="2802255"/>
            <wp:effectExtent l="0" t="0" r="2540" b="0"/>
            <wp:wrapSquare wrapText="bothSides"/>
            <wp:docPr id="12" name="Diagram 12">
              <a:extLst xmlns:a="http://schemas.openxmlformats.org/drawingml/2006/main">
                <a:ext uri="{FF2B5EF4-FFF2-40B4-BE49-F238E27FC236}">
                  <a16:creationId xmlns:a16="http://schemas.microsoft.com/office/drawing/2014/main" id="{1E820375-46EC-425E-A60D-5FBE182F969E}"/>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9" r:lo="rId60" r:qs="rId61" r:cs="rId62"/>
              </a:graphicData>
            </a:graphic>
            <wp14:sizeRelH relativeFrom="page">
              <wp14:pctWidth>0</wp14:pctWidth>
            </wp14:sizeRelH>
            <wp14:sizeRelV relativeFrom="page">
              <wp14:pctHeight>0</wp14:pctHeight>
            </wp14:sizeRelV>
          </wp:anchor>
        </w:drawing>
      </w:r>
      <w:r w:rsidRPr="000C2F1E">
        <w:rPr>
          <w:rFonts w:eastAsia="Calibri" w:cstheme="minorHAnsi"/>
        </w:rPr>
        <w:t xml:space="preserve">projektu atlases padomes puses </w:t>
      </w:r>
      <w:r w:rsidRPr="000C2F1E">
        <w:rPr>
          <w:rFonts w:eastAsia="Calibri" w:cstheme="minorHAnsi"/>
          <w:b/>
          <w:bCs/>
        </w:rPr>
        <w:t>neierobežota skaita reižu pretendēt uz kompetences centra finansējumu, kamēr vien tāds ir pieejams</w:t>
      </w:r>
      <w:r w:rsidRPr="000C2F1E">
        <w:rPr>
          <w:rFonts w:eastAsia="Calibri" w:cstheme="minorHAnsi"/>
        </w:rPr>
        <w:t>.</w:t>
      </w:r>
      <w:r w:rsidRPr="000C2F1E">
        <w:rPr>
          <w:rFonts w:eastAsia="Calibri" w:cstheme="minorHAnsi"/>
          <w:noProof/>
          <w:sz w:val="22"/>
        </w:rPr>
        <mc:AlternateContent>
          <mc:Choice Requires="wps">
            <w:drawing>
              <wp:anchor distT="0" distB="0" distL="114300" distR="114300" simplePos="0" relativeHeight="251658245" behindDoc="0" locked="0" layoutInCell="1" allowOverlap="1" wp14:anchorId="4E795DC6" wp14:editId="210F4C73">
                <wp:simplePos x="0" y="0"/>
                <wp:positionH relativeFrom="column">
                  <wp:posOffset>-189865</wp:posOffset>
                </wp:positionH>
                <wp:positionV relativeFrom="paragraph">
                  <wp:posOffset>406400</wp:posOffset>
                </wp:positionV>
                <wp:extent cx="1680210" cy="1530350"/>
                <wp:effectExtent l="0" t="0" r="0" b="0"/>
                <wp:wrapNone/>
                <wp:docPr id="9" name="Arrow: Circular 13"/>
                <wp:cNvGraphicFramePr/>
                <a:graphic xmlns:a="http://schemas.openxmlformats.org/drawingml/2006/main">
                  <a:graphicData uri="http://schemas.microsoft.com/office/word/2010/wordprocessingShape">
                    <wps:wsp>
                      <wps:cNvSpPr/>
                      <wps:spPr>
                        <a:xfrm flipH="1">
                          <a:off x="0" y="0"/>
                          <a:ext cx="1680210" cy="1530350"/>
                        </a:xfrm>
                        <a:prstGeom prst="circularArrow">
                          <a:avLst/>
                        </a:prstGeom>
                        <a:solidFill>
                          <a:srgbClr val="70AD47"/>
                        </a:solidFill>
                        <a:ln w="12700" cap="flat" cmpd="sng" algn="ctr">
                          <a:solidFill>
                            <a:srgbClr val="70AD47"/>
                          </a:solidFill>
                          <a:prstDash val="solid"/>
                          <a:miter lim="800000"/>
                        </a:ln>
                        <a:effectLst/>
                      </wps:spPr>
                      <wps:bodyPr rtlCol="0" anchor="ctr"/>
                    </wps:wsp>
                  </a:graphicData>
                </a:graphic>
                <wp14:sizeRelH relativeFrom="margin">
                  <wp14:pctWidth>0</wp14:pctWidth>
                </wp14:sizeRelH>
                <wp14:sizeRelV relativeFrom="margin">
                  <wp14:pctHeight>0</wp14:pctHeight>
                </wp14:sizeRelV>
              </wp:anchor>
            </w:drawing>
          </mc:Choice>
          <mc:Fallback>
            <w:pict>
              <v:shape w14:anchorId="02EF320F" id="Arrow: Circular 13" o:spid="_x0000_s1026" style="position:absolute;margin-left:-14.95pt;margin-top:32pt;width:132.3pt;height:120.5pt;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680210,1530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" path="m95647,765175v,-336448,277625,-620640,648613,-663956c1098868,59816,1436115,251005,1547515,556594r88323,l1488916,765175,1253251,556594r84633,c1230248,364598,988522,257469,745380,294005,480396,333823,286942,532650,286942,765175r-191295,xe" fillcolor="#70ad47" strokecolor="#70ad47" strokeweight="1pt">
                <v:stroke joinstyle="miter"/>
                <v:path arrowok="t" o:connecttype="custom" o:connectlocs="95647,765175;744260,101219;1547515,556594;1635838,556594;1488916,765175;1253251,556594;1337884,556594;745380,294005;286942,765175;95647,765175" o:connectangles="0,0,0,0,0,0,0,0,0,0"/>
              </v:shape>
            </w:pict>
          </mc:Fallback>
        </mc:AlternateContent>
      </w:r>
      <w:r w:rsidRPr="000C2F1E">
        <w:rPr>
          <w:rFonts w:eastAsia="Calibri" w:cstheme="minorHAnsi"/>
          <w:noProof/>
          <w:sz w:val="22"/>
        </w:rPr>
        <mc:AlternateContent>
          <mc:Choice Requires="wps">
            <w:drawing>
              <wp:anchor distT="0" distB="0" distL="114300" distR="114300" simplePos="0" relativeHeight="251658246" behindDoc="0" locked="0" layoutInCell="1" allowOverlap="1" wp14:anchorId="62F4913F" wp14:editId="5B7503F0">
                <wp:simplePos x="0" y="0"/>
                <wp:positionH relativeFrom="column">
                  <wp:posOffset>-499745</wp:posOffset>
                </wp:positionH>
                <wp:positionV relativeFrom="paragraph">
                  <wp:posOffset>3208020</wp:posOffset>
                </wp:positionV>
                <wp:extent cx="6874510" cy="635"/>
                <wp:effectExtent l="0" t="0" r="0" b="0"/>
                <wp:wrapSquare wrapText="bothSides"/>
                <wp:docPr id="11" name="Text Box 11"/>
                <wp:cNvGraphicFramePr/>
                <a:graphic xmlns:a="http://schemas.openxmlformats.org/drawingml/2006/main">
                  <a:graphicData uri="http://schemas.microsoft.com/office/word/2010/wordprocessingShape">
                    <wps:wsp>
                      <wps:cNvSpPr txBox="1"/>
                      <wps:spPr>
                        <a:xfrm>
                          <a:off x="0" y="0"/>
                          <a:ext cx="6874510" cy="635"/>
                        </a:xfrm>
                        <a:prstGeom prst="rect">
                          <a:avLst/>
                        </a:prstGeom>
                        <a:solidFill>
                          <a:prstClr val="white"/>
                        </a:solidFill>
                        <a:ln>
                          <a:noFill/>
                        </a:ln>
                      </wps:spPr>
                      <wps:txbx>
                        <w:txbxContent>
                          <w:p w14:paraId="61D1ED20" w14:textId="77777777" w:rsidR="00E708C1" w:rsidRPr="00835378" w:rsidRDefault="00E708C1" w:rsidP="00E708C1">
                            <w:pPr>
                              <w:pStyle w:val="Caption1"/>
                              <w:rPr>
                                <w:color w:val="A8D08D"/>
                                <w:sz w:val="20"/>
                                <w:szCs w:val="20"/>
                              </w:rPr>
                            </w:pPr>
                            <w:r w:rsidRPr="00D911AE">
                              <w:rPr>
                                <w:sz w:val="20"/>
                                <w:szCs w:val="20"/>
                              </w:rPr>
                              <w:t xml:space="preserve">Ilustrācija </w:t>
                            </w:r>
                            <w:r w:rsidRPr="00D911AE">
                              <w:rPr>
                                <w:sz w:val="20"/>
                                <w:szCs w:val="20"/>
                              </w:rPr>
                              <w:fldChar w:fldCharType="begin"/>
                            </w:r>
                            <w:r w:rsidRPr="00D911AE">
                              <w:rPr>
                                <w:sz w:val="20"/>
                                <w:szCs w:val="20"/>
                              </w:rPr>
                              <w:instrText xml:space="preserve"> SEQ Ilustrācija \* ARABIC </w:instrText>
                            </w:r>
                            <w:r w:rsidRPr="00D911AE">
                              <w:rPr>
                                <w:sz w:val="20"/>
                                <w:szCs w:val="20"/>
                              </w:rPr>
                              <w:fldChar w:fldCharType="separate"/>
                            </w:r>
                            <w:r>
                              <w:rPr>
                                <w:noProof/>
                                <w:sz w:val="20"/>
                                <w:szCs w:val="20"/>
                              </w:rPr>
                              <w:t>1</w:t>
                            </w:r>
                            <w:r w:rsidRPr="00D911AE">
                              <w:rPr>
                                <w:sz w:val="20"/>
                                <w:szCs w:val="20"/>
                              </w:rPr>
                              <w:fldChar w:fldCharType="end"/>
                            </w:r>
                            <w:r w:rsidRPr="00D911AE">
                              <w:rPr>
                                <w:sz w:val="20"/>
                                <w:szCs w:val="20"/>
                              </w:rPr>
                              <w:t xml:space="preserve"> </w:t>
                            </w:r>
                            <w:r w:rsidRPr="00D911AE">
                              <w:rPr>
                                <w:b/>
                                <w:bCs/>
                                <w:sz w:val="20"/>
                                <w:szCs w:val="20"/>
                              </w:rPr>
                              <w:t>Pētniecības projektu process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2F4913F" id="Text Box 11" o:spid="_x0000_s1028" type="#_x0000_t202" style="position:absolute;left:0;text-align:left;margin-left:-39.35pt;margin-top:252.6pt;width:541.3pt;height:.05pt;z-index:25165824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" stroked="f">
                <v:textbox style="mso-fit-shape-to-text:t" inset="0,0,0,0">
                  <w:txbxContent>
                    <w:p w14:paraId="61D1ED20" w14:textId="77777777" w:rsidR="00E708C1" w:rsidRPr="00835378" w:rsidRDefault="00E708C1" w:rsidP="00E708C1">
                      <w:pPr>
                        <w:pStyle w:val="Caption1"/>
                        <w:rPr>
                          <w:color w:val="A8D08D"/>
                          <w:sz w:val="20"/>
                          <w:szCs w:val="20"/>
                        </w:rPr>
                      </w:pPr>
                      <w:r w:rsidRPr="00D911AE">
                        <w:rPr>
                          <w:sz w:val="20"/>
                          <w:szCs w:val="20"/>
                        </w:rPr>
                        <w:t xml:space="preserve">Ilustrācija </w:t>
                      </w:r>
                      <w:r w:rsidRPr="00D911AE">
                        <w:rPr>
                          <w:sz w:val="20"/>
                          <w:szCs w:val="20"/>
                        </w:rPr>
                        <w:fldChar w:fldCharType="begin"/>
                      </w:r>
                      <w:r w:rsidRPr="00D911AE">
                        <w:rPr>
                          <w:sz w:val="20"/>
                          <w:szCs w:val="20"/>
                        </w:rPr>
                        <w:instrText xml:space="preserve"> SEQ Ilustrācija \* ARABIC </w:instrText>
                      </w:r>
                      <w:r w:rsidRPr="00D911AE">
                        <w:rPr>
                          <w:sz w:val="20"/>
                          <w:szCs w:val="20"/>
                        </w:rPr>
                        <w:fldChar w:fldCharType="separate"/>
                      </w:r>
                      <w:r>
                        <w:rPr>
                          <w:noProof/>
                          <w:sz w:val="20"/>
                          <w:szCs w:val="20"/>
                        </w:rPr>
                        <w:t>1</w:t>
                      </w:r>
                      <w:r w:rsidRPr="00D911AE">
                        <w:rPr>
                          <w:sz w:val="20"/>
                          <w:szCs w:val="20"/>
                        </w:rPr>
                        <w:fldChar w:fldCharType="end"/>
                      </w:r>
                      <w:r w:rsidRPr="00D911AE">
                        <w:rPr>
                          <w:sz w:val="20"/>
                          <w:szCs w:val="20"/>
                        </w:rPr>
                        <w:t xml:space="preserve"> </w:t>
                      </w:r>
                      <w:r w:rsidRPr="00D911AE">
                        <w:rPr>
                          <w:b/>
                          <w:bCs/>
                          <w:sz w:val="20"/>
                          <w:szCs w:val="20"/>
                        </w:rPr>
                        <w:t>Pētniecības projektu process</w:t>
                      </w:r>
                    </w:p>
                  </w:txbxContent>
                </v:textbox>
                <w10:wrap type="square"/>
              </v:shape>
            </w:pict>
          </mc:Fallback>
        </mc:AlternateContent>
      </w:r>
    </w:p>
    <w:p w14:paraId="59A826BC" w14:textId="53A151A1" w:rsidR="00E708C1" w:rsidRPr="000C2F1E" w:rsidRDefault="00E708C1" w:rsidP="00E708C1">
      <w:pPr>
        <w:rPr>
          <w:rFonts w:cstheme="minorHAnsi"/>
        </w:rPr>
      </w:pPr>
      <w:r w:rsidRPr="000C2F1E">
        <w:rPr>
          <w:rFonts w:cstheme="minorHAnsi"/>
        </w:rPr>
        <w:t>Atgriežoties sagatavošanās posmā (0.posmā vai 1.posmā) potenciālajam sadarbības partnerim, kas saņēmis noraidījumu vai atgrieztu projektu pārstrādei, ir pieejama kompetences centra vadība pētniecības projekta pilnveidošanas pārrunāšanai, kā arī no projektu atlases padomes saņemto norādījumu pārrunāšanai.</w:t>
      </w:r>
    </w:p>
    <w:p w14:paraId="22E2D842" w14:textId="77777777" w:rsidR="00E708C1" w:rsidRPr="000C2F1E" w:rsidRDefault="00E708C1" w:rsidP="00E708C1">
      <w:pPr>
        <w:rPr>
          <w:rFonts w:cstheme="minorHAnsi"/>
        </w:rPr>
      </w:pPr>
      <w:r w:rsidRPr="000C2F1E">
        <w:rPr>
          <w:rFonts w:cstheme="minorHAnsi"/>
        </w:rPr>
        <w:t>Šāda interaktīva pieeja pētniecības atlasei ir vērsta uz to, lai nozares Sadarbības partneriem palīdzētu to ideju realizēšanā, novērstu formālo prasību citādu interpretāciju un nodrošinātu iespējami kvalitatīvāku pētniecības projektu realizāciju kompetences centra ietvaros.</w:t>
      </w:r>
    </w:p>
    <w:p w14:paraId="738F2D45" w14:textId="77777777" w:rsidR="00E708C1" w:rsidRPr="000C2F1E" w:rsidRDefault="00E708C1" w:rsidP="00E708C1">
      <w:pPr>
        <w:rPr>
          <w:rFonts w:cstheme="minorHAnsi"/>
        </w:rPr>
      </w:pPr>
      <w:r w:rsidRPr="000C2F1E">
        <w:rPr>
          <w:rFonts w:cstheme="minorHAnsi"/>
        </w:rPr>
        <w:lastRenderedPageBreak/>
        <w:t xml:space="preserve">Darbs ar potenciālajiem Sadarbības partneriem un atvērta komunikācija arī likvidē nepieciešamību pēc formāla pārsūdzības procesa ieviešanas. Šādu formālu pārsūdzību procesu jēga būtu gadījumā, ja kompetences centrs nepiedalītos sarunās ar potenciālajiem sadarbības partneriem par prasību un nosacījumu izskaidrošanu, kā arī savlaicīgu risku izcelšanu un iespējas došanu tos novērst pirms to iestāšanās. </w:t>
      </w:r>
    </w:p>
    <w:p w14:paraId="56C8B357" w14:textId="22FD1382" w:rsidR="00E708C1" w:rsidRPr="000C2F1E" w:rsidRDefault="00E708C1" w:rsidP="00E708C1">
      <w:pPr>
        <w:rPr>
          <w:rFonts w:cstheme="minorHAnsi"/>
        </w:rPr>
      </w:pPr>
      <w:r w:rsidRPr="000C2F1E">
        <w:rPr>
          <w:rFonts w:cstheme="minorHAnsi"/>
        </w:rPr>
        <w:t xml:space="preserve">Kompetences centrs projektu atlases padomes jaunu pētniecības projektu izvērtēšanā sasauc pēc nepieciešamības, kamēr vien ir pieejams brīvs finansējums. Attiecīgi, ja kāds no potenciālajiem Sadarbības partneriem saņem </w:t>
      </w:r>
      <w:r w:rsidR="007048E3" w:rsidRPr="000C2F1E">
        <w:rPr>
          <w:rFonts w:cstheme="minorHAnsi"/>
        </w:rPr>
        <w:t>norādījumu</w:t>
      </w:r>
      <w:r w:rsidRPr="000C2F1E">
        <w:rPr>
          <w:rFonts w:cstheme="minorHAnsi"/>
        </w:rPr>
        <w:t xml:space="preserve"> vai savu pētniecības projekta pieteikumu uzlabošanai, projektu atlases padome sanāk pēc nepieciešamības, tiklīdz norādītie trūkumi no potenciālā Sadarbības partnera puses ir novērsti un joprojām kompetences centrā ir pieejams brīvs finansējums. Šāda rīcība ir gan potenciālā Sadarbības partnera interesēs, gan kompetences centra interesēs, lai nodrošinātu gan iespējami kvalitatīvāku pētniecības projektu realizēšanu kompetences centra ietvaros, gan nodrošinātu kompetences centra mērķu sasniegšanu nepieciešamajā apjomā un termiņā.</w:t>
      </w:r>
    </w:p>
    <w:p w14:paraId="6C94F36F" w14:textId="77777777" w:rsidR="00E708C1" w:rsidRDefault="00E708C1" w:rsidP="00E708C1"/>
    <w:p w14:paraId="294BD992" w14:textId="77777777" w:rsidR="00E708C1" w:rsidRDefault="00E708C1" w:rsidP="006F31C1">
      <w:pPr>
        <w:pStyle w:val="Heading3"/>
        <w:numPr>
          <w:ilvl w:val="2"/>
          <w:numId w:val="40"/>
        </w:numPr>
      </w:pPr>
      <w:bookmarkStart w:id="102" w:name="_Toc451018179"/>
      <w:bookmarkStart w:id="103" w:name="_Toc113267429"/>
      <w:r>
        <w:t>Projektu atskaites, uzraudzība, finansējuma pārtraukšana vai projekta izmaiņas</w:t>
      </w:r>
      <w:bookmarkEnd w:id="102"/>
      <w:bookmarkEnd w:id="103"/>
    </w:p>
    <w:p w14:paraId="78F240FE" w14:textId="77777777" w:rsidR="00B14740" w:rsidRPr="008A3C56" w:rsidRDefault="00B14740" w:rsidP="00B14740">
      <w:pPr>
        <w:rPr>
          <w:rFonts w:cstheme="minorHAnsi"/>
        </w:rPr>
      </w:pPr>
      <w:r w:rsidRPr="008A3C56">
        <w:rPr>
          <w:rFonts w:cstheme="minorHAnsi"/>
        </w:rPr>
        <w:t>Sadarbības partneri ir savu pētniecības projektu ietvaros atbildīgi par izmaksu attiecināmību, aktivitāšu atbilstību P&amp;A aktivitātēm un iepirkumu pareizību. Par uzraudzību un dokumentu pārbaudi atbildīgs ir KC. Lai nodrošinātu projektu pārraudzību Kompetences centrs:</w:t>
      </w:r>
    </w:p>
    <w:p w14:paraId="00B43D99" w14:textId="77777777" w:rsidR="00B14740" w:rsidRPr="008A3C56" w:rsidRDefault="00B14740" w:rsidP="00B14740">
      <w:pPr>
        <w:pStyle w:val="ListParagraph"/>
        <w:numPr>
          <w:ilvl w:val="0"/>
          <w:numId w:val="19"/>
        </w:numPr>
        <w:spacing w:after="0"/>
        <w:rPr>
          <w:rFonts w:cstheme="minorHAnsi"/>
        </w:rPr>
      </w:pPr>
      <w:r w:rsidRPr="008A3C56">
        <w:rPr>
          <w:rFonts w:cstheme="minorHAnsi"/>
        </w:rPr>
        <w:t>Pieprasa katram Sadarbības partnerim iepirkumu plānu nākošajam projekta periodam;</w:t>
      </w:r>
    </w:p>
    <w:p w14:paraId="1DABCAA9" w14:textId="77777777" w:rsidR="00B14740" w:rsidRPr="008A3C56" w:rsidRDefault="00B14740" w:rsidP="00B14740">
      <w:pPr>
        <w:pStyle w:val="ListParagraph"/>
        <w:numPr>
          <w:ilvl w:val="0"/>
          <w:numId w:val="19"/>
        </w:numPr>
        <w:spacing w:after="0"/>
        <w:rPr>
          <w:rFonts w:cstheme="minorHAnsi"/>
        </w:rPr>
      </w:pPr>
      <w:r w:rsidRPr="008A3C56">
        <w:rPr>
          <w:rFonts w:cstheme="minorHAnsi"/>
        </w:rPr>
        <w:t>Pirms katra maksājuma pieprasījuma, bet ne retāk kā reizi 6 mēnešos, par katru projektu, kurā sadarbības partneris deklarē veiktās pētniecības izmaksas, KC pieprasa īsu kopsavilkumu prezentācijas formā, kurā jāraksturo projekta progress, galvenie rezultāti un finanšu kopsavilkums;</w:t>
      </w:r>
    </w:p>
    <w:p w14:paraId="628A7216" w14:textId="77777777" w:rsidR="00B14740" w:rsidRPr="008A3C56" w:rsidRDefault="00B14740" w:rsidP="00B14740">
      <w:pPr>
        <w:pStyle w:val="ListParagraph"/>
        <w:numPr>
          <w:ilvl w:val="0"/>
          <w:numId w:val="19"/>
        </w:numPr>
        <w:spacing w:after="0"/>
        <w:rPr>
          <w:rFonts w:cstheme="minorHAnsi"/>
        </w:rPr>
      </w:pPr>
      <w:r w:rsidRPr="008A3C56">
        <w:rPr>
          <w:rFonts w:cstheme="minorHAnsi"/>
        </w:rPr>
        <w:t>Lai nodrošinātu izmaksu un aktivitāšu attiecināmību, Sadarbības partneriem ir pieejami Kompetences centra piesaistīto finanšu un vadības ekspertu pakalpojumi, kuru mērķis ir nodrošināt kļūdu novēršanu projektu realizācijas laikā, kas var radīt negatīvas finanšu sekas Sadarbības partnerim vai Kompetences centram.</w:t>
      </w:r>
    </w:p>
    <w:p w14:paraId="7447A046" w14:textId="77777777" w:rsidR="00B14740" w:rsidRPr="008A3C56" w:rsidRDefault="00B14740" w:rsidP="00B14740">
      <w:pPr>
        <w:rPr>
          <w:rFonts w:cstheme="minorHAnsi"/>
        </w:rPr>
      </w:pPr>
      <w:r w:rsidRPr="008A3C56">
        <w:rPr>
          <w:rFonts w:cstheme="minorHAnsi"/>
        </w:rPr>
        <w:t>Gadījumos, kad zinātniskā padome vai piesaistītie eksperti atskaitēs konstatē neatbilstības projekta mērķiem, P&amp;A izmaksām vai būtiskus riskus, tiem ir tiesības pieprasīt papildu informāciju no Sadarbības partnera.</w:t>
      </w:r>
    </w:p>
    <w:p w14:paraId="7ADCA3B3" w14:textId="77777777" w:rsidR="00B14740" w:rsidRPr="008A3C56" w:rsidRDefault="00B14740" w:rsidP="00B14740">
      <w:pPr>
        <w:rPr>
          <w:rFonts w:cstheme="minorHAnsi"/>
        </w:rPr>
      </w:pPr>
      <w:r w:rsidRPr="008A3C56">
        <w:rPr>
          <w:rFonts w:cstheme="minorHAnsi"/>
        </w:rPr>
        <w:t xml:space="preserve">Ja papildus informācijas iegūšanas procesā netiek iegūta pārliecība, ka projekts ir labi pārvaldīts vai tas sasniegs rezultātus, konsultāciju procesā tiek piedāvāts novērst konstatētās neatbilstības. </w:t>
      </w:r>
    </w:p>
    <w:p w14:paraId="7D80F70B" w14:textId="77777777" w:rsidR="00B14740" w:rsidRPr="008A3C56" w:rsidRDefault="00B14740" w:rsidP="00B14740">
      <w:pPr>
        <w:rPr>
          <w:rFonts w:cstheme="minorHAnsi"/>
        </w:rPr>
      </w:pPr>
      <w:r w:rsidRPr="008A3C56">
        <w:rPr>
          <w:rFonts w:cstheme="minorHAnsi"/>
        </w:rPr>
        <w:t>Ja konstatētās neatbilstības nav iespējams novērst, par to tiek ziņots KC vadītājam, kurš informē PAP. Nākamajā PAP sēdē ir tiesības lemt par:</w:t>
      </w:r>
    </w:p>
    <w:p w14:paraId="57926C49" w14:textId="77777777" w:rsidR="00B14740" w:rsidRPr="008A3C56" w:rsidRDefault="00B14740" w:rsidP="00B14740">
      <w:pPr>
        <w:pStyle w:val="ListParagraph"/>
        <w:numPr>
          <w:ilvl w:val="1"/>
          <w:numId w:val="19"/>
        </w:numPr>
        <w:spacing w:after="0"/>
        <w:rPr>
          <w:rFonts w:cstheme="minorHAnsi"/>
        </w:rPr>
      </w:pPr>
      <w:r w:rsidRPr="008A3C56">
        <w:rPr>
          <w:rFonts w:cstheme="minorHAnsi"/>
        </w:rPr>
        <w:t>Projekta apstādināšanu, noslēdzot to vietā, kur konstatētas problēmas. Ja projektā nav finanšu pārkāpumu, bet ir konstatēta tehniska neiespējamība, vai projekts zaudējis jēgu citu iemeslu dēļ, tad Sadarbības partnerim tiek piešķirta iespēja iesniegt citu, līdzvērtīgu projektu, kura līdzvērtību ar sākotnējo izvērtē zinātniskā virziena vadītājs.</w:t>
      </w:r>
    </w:p>
    <w:p w14:paraId="27512023" w14:textId="77777777" w:rsidR="00B14740" w:rsidRPr="008A3C56" w:rsidRDefault="00B14740" w:rsidP="00B14740">
      <w:pPr>
        <w:pStyle w:val="ListParagraph"/>
        <w:numPr>
          <w:ilvl w:val="1"/>
          <w:numId w:val="19"/>
        </w:numPr>
        <w:spacing w:after="0"/>
        <w:rPr>
          <w:rFonts w:cstheme="minorHAnsi"/>
        </w:rPr>
      </w:pPr>
      <w:r w:rsidRPr="008A3C56">
        <w:rPr>
          <w:rFonts w:cstheme="minorHAnsi"/>
        </w:rPr>
        <w:t>Maksājumu apstādināšanu – ja projektā ir konstatēti finanšu pārkāpumi;</w:t>
      </w:r>
    </w:p>
    <w:p w14:paraId="6E4A9C9A" w14:textId="77777777" w:rsidR="00B14740" w:rsidRPr="008A3C56" w:rsidRDefault="00B14740" w:rsidP="00B14740">
      <w:pPr>
        <w:rPr>
          <w:rFonts w:cstheme="minorHAnsi"/>
        </w:rPr>
      </w:pPr>
      <w:r w:rsidRPr="008A3C56">
        <w:rPr>
          <w:rFonts w:cstheme="minorHAnsi"/>
        </w:rPr>
        <w:lastRenderedPageBreak/>
        <w:t>Sadarbības partnerim ir tiesības un pienākums ierosināt tā Pētniecības projekta izmaiņas, tikko tas konstatē, ka sākotnējais projekts zaudējis vērtību vai būtisku tā daļu. Šādā gadījumā Sadarbības partneris iesniedz Kompetences centrā:</w:t>
      </w:r>
    </w:p>
    <w:p w14:paraId="3F66C17F" w14:textId="77777777" w:rsidR="00B14740" w:rsidRPr="008A3C56" w:rsidRDefault="00B14740" w:rsidP="00B14740">
      <w:pPr>
        <w:pStyle w:val="ListParagraph"/>
        <w:numPr>
          <w:ilvl w:val="0"/>
          <w:numId w:val="20"/>
        </w:numPr>
        <w:spacing w:after="0"/>
        <w:rPr>
          <w:rFonts w:cstheme="minorHAnsi"/>
        </w:rPr>
      </w:pPr>
      <w:r w:rsidRPr="008A3C56">
        <w:rPr>
          <w:rFonts w:cstheme="minorHAnsi"/>
        </w:rPr>
        <w:t>Nepieciešamās izmaiņas laika grafikā vai plānotajās aktivitātēs;</w:t>
      </w:r>
    </w:p>
    <w:p w14:paraId="641A0139" w14:textId="77777777" w:rsidR="00B14740" w:rsidRPr="008A3C56" w:rsidRDefault="00B14740" w:rsidP="00B14740">
      <w:pPr>
        <w:pStyle w:val="ListParagraph"/>
        <w:numPr>
          <w:ilvl w:val="0"/>
          <w:numId w:val="20"/>
        </w:numPr>
        <w:spacing w:after="0"/>
        <w:rPr>
          <w:rFonts w:cstheme="minorHAnsi"/>
        </w:rPr>
      </w:pPr>
      <w:r w:rsidRPr="008A3C56">
        <w:rPr>
          <w:rFonts w:cstheme="minorHAnsi"/>
        </w:rPr>
        <w:t>Nepieciešamās izmaiņas, ja tas vēlas izmainīt pētniecības virzienu veidā, kas saglabā projektā paredzētos rādītājus un projekta kvalitāti līdzvērtīgu esošajai;</w:t>
      </w:r>
    </w:p>
    <w:p w14:paraId="54ADCA9D" w14:textId="77777777" w:rsidR="00B14740" w:rsidRPr="008A3C56" w:rsidRDefault="00B14740" w:rsidP="00B14740">
      <w:pPr>
        <w:pStyle w:val="ListParagraph"/>
        <w:numPr>
          <w:ilvl w:val="0"/>
          <w:numId w:val="20"/>
        </w:numPr>
        <w:spacing w:after="0"/>
        <w:rPr>
          <w:rFonts w:cstheme="minorHAnsi"/>
        </w:rPr>
      </w:pPr>
      <w:r w:rsidRPr="008A3C56">
        <w:rPr>
          <w:rFonts w:cstheme="minorHAnsi"/>
        </w:rPr>
        <w:t>Pieteikumu, ka projekts tiek pārtraukts, iesniedzot atskaiti par paveikto un pamatojumu, kāpēc projekts ir zaudējis vērtību, un to turpināt ir neracionāli.</w:t>
      </w:r>
    </w:p>
    <w:p w14:paraId="2A42B9E2" w14:textId="77777777" w:rsidR="00B14740" w:rsidRPr="008A3C56" w:rsidRDefault="00B14740" w:rsidP="00B14740">
      <w:pPr>
        <w:rPr>
          <w:rFonts w:cstheme="minorHAnsi"/>
        </w:rPr>
      </w:pPr>
      <w:r w:rsidRPr="008A3C56">
        <w:rPr>
          <w:rFonts w:cstheme="minorHAnsi"/>
        </w:rPr>
        <w:t>Pieteikumu izskata Zinātniskā virziena vadītājs, kurš dod savu slēdzienu par izmaiņu pamatotību. Uz slēdziena pamata lēmumu pieņem PAP.</w:t>
      </w:r>
    </w:p>
    <w:p w14:paraId="5CE1EC91" w14:textId="77777777" w:rsidR="00B14740" w:rsidRPr="008A3C56" w:rsidRDefault="00B14740" w:rsidP="00B14740">
      <w:pPr>
        <w:rPr>
          <w:rFonts w:cstheme="minorHAnsi"/>
        </w:rPr>
      </w:pPr>
      <w:r w:rsidRPr="008A3C56">
        <w:rPr>
          <w:rFonts w:cstheme="minorHAnsi"/>
        </w:rPr>
        <w:t>Ja lēmums ir pārtraukt projektu, tad neapgūtais finansējums ir pieejams nākamajā projektu atlases padomē pieteiktajiem projektiem uz vienlīdzīgiem principiem.</w:t>
      </w:r>
    </w:p>
    <w:p w14:paraId="3BD5A424" w14:textId="3BFBD40F" w:rsidR="00E708C1" w:rsidRPr="00B76C63" w:rsidRDefault="00B14740" w:rsidP="00E708C1">
      <w:r w:rsidRPr="008A3C56">
        <w:rPr>
          <w:rFonts w:cstheme="minorHAnsi"/>
        </w:rPr>
        <w:t>Visos projekta izmaiņu gadījumos pēc projekta izmaiņu vai apstrādināšanas lēmuma Kompetences centrā atbilstošais lēmums tiek saskaņots ar CFLA.</w:t>
      </w:r>
    </w:p>
    <w:p w14:paraId="0E06BF37" w14:textId="77777777" w:rsidR="00E708C1" w:rsidRPr="00E708C1" w:rsidRDefault="00E708C1" w:rsidP="00E708C1">
      <w:pPr>
        <w:pStyle w:val="Heading3"/>
      </w:pPr>
      <w:bookmarkStart w:id="104" w:name="_Toc451018180"/>
      <w:bookmarkStart w:id="105" w:name="_Toc113267430"/>
      <w:r w:rsidRPr="00E708C1">
        <w:t>Papildintensitātes piešķiršana</w:t>
      </w:r>
      <w:bookmarkEnd w:id="104"/>
      <w:bookmarkEnd w:id="105"/>
    </w:p>
    <w:p w14:paraId="33E2550F" w14:textId="77777777" w:rsidR="00E708C1" w:rsidRPr="00E708C1" w:rsidRDefault="00E708C1" w:rsidP="002319D2">
      <w:pPr>
        <w:pStyle w:val="Heading4"/>
        <w:numPr>
          <w:ilvl w:val="3"/>
          <w:numId w:val="6"/>
        </w:numPr>
      </w:pPr>
      <w:bookmarkStart w:id="106" w:name="_Toc451018181"/>
      <w:bookmarkStart w:id="107" w:name="_Toc113267431"/>
      <w:r w:rsidRPr="00E708C1">
        <w:t>Papildintensitāte par pētījuma rezultātu publicēšanu</w:t>
      </w:r>
      <w:bookmarkEnd w:id="106"/>
      <w:bookmarkEnd w:id="107"/>
    </w:p>
    <w:p w14:paraId="0CE5DD25" w14:textId="77777777" w:rsidR="00E708C1" w:rsidRDefault="00E708C1" w:rsidP="00E708C1">
      <w:r>
        <w:t>Eksperti izvērtē, vai pētījuma projektā paredzētie darbi potenciāli spēj radīt zinātnisko rakstu tādā kvalitātē, lai nodrošinātu citējamību MK noteikumos paredzētajā līmenī.</w:t>
      </w:r>
    </w:p>
    <w:p w14:paraId="69618CDC" w14:textId="77777777" w:rsidR="00E708C1" w:rsidRPr="000C2F1E" w:rsidRDefault="00E708C1" w:rsidP="00E708C1">
      <w:r>
        <w:t xml:space="preserve">Ja ekspertu vērtējums ir pozitīvs, papildintensitāti piešķir projekta sākumā, ja tiek izpildīts </w:t>
      </w:r>
      <w:r w:rsidRPr="000C2F1E">
        <w:t>sekojošs nosacījums:</w:t>
      </w:r>
    </w:p>
    <w:p w14:paraId="5E65CB82" w14:textId="77777777" w:rsidR="00E708C1" w:rsidRPr="000C2F1E" w:rsidRDefault="00E708C1" w:rsidP="006F31C1">
      <w:pPr>
        <w:pStyle w:val="ListParagraph"/>
        <w:numPr>
          <w:ilvl w:val="0"/>
          <w:numId w:val="39"/>
        </w:numPr>
        <w:shd w:val="clear" w:color="auto" w:fill="auto"/>
        <w:spacing w:after="0"/>
      </w:pPr>
      <w:r w:rsidRPr="000C2F1E">
        <w:t>pētniecības projekta rezultāti pieņemti publicēšanai vismaz divos zinātniskos rakstos, kas indeksēti Web of Science, SCOPUS, ERIH (A vai B) ScienceDirect vai Elsevier datubāzēs, vai izplatīti tādā tehniskā vai zinātniskā konferencē, kuras rakstu krājums indeksēts Web of Science, SCOPUS, ERIH (A vai B), DBLP, ScienceDirect vai Elsevier datubāzēs, un publikācijas autors ir komersanta vai atzītas lauksaimniecības pakalpojumu kooperatīvās sabiedrības pētnieks vai publikācija ir komersanta vai atzītas lauksaimniecības pakalpojumu kooperatīvās sabiedrības un pētniecības un zināšanu izplatīšanas organizācijas pētnieku koppublikācija.</w:t>
      </w:r>
    </w:p>
    <w:p w14:paraId="023D102C" w14:textId="77777777" w:rsidR="00E708C1" w:rsidRPr="00C2044E" w:rsidRDefault="00E708C1" w:rsidP="00E708C1">
      <w:r w:rsidRPr="000C2F1E">
        <w:t>Ja nosacījums netiek izpildīti, papildintensitāte par pētījuma rezultātu publicēšanu netiek piemērota projekta sākumā. Ja pētījuma laikā tiek radīti zinātniskie raksti, kas tiek indeksēti Web of Science, SCOPUS, ERIH (A vai B) vai ScienceDirect| Elsevier datu bāzēs, pētījumam tiek piešķirta papildu intensitāte, ja KC ir pieejams brīvs finansējums. Finansējuma pārdalē priekšroka tiek dota esošo projektu papidintensitātes piemērošanai, nevis jaunu projektu uzsākšanai</w:t>
      </w:r>
      <w:r>
        <w:t>.</w:t>
      </w:r>
    </w:p>
    <w:p w14:paraId="7BA22892" w14:textId="77777777" w:rsidR="00E708C1" w:rsidRPr="00E708C1" w:rsidRDefault="00E708C1" w:rsidP="006F31C1">
      <w:pPr>
        <w:pStyle w:val="Heading4"/>
        <w:numPr>
          <w:ilvl w:val="3"/>
          <w:numId w:val="41"/>
        </w:numPr>
      </w:pPr>
      <w:bookmarkStart w:id="108" w:name="_Toc451018182"/>
      <w:bookmarkStart w:id="109" w:name="_Toc113267432"/>
      <w:r w:rsidRPr="00E708C1">
        <w:t>Papildintensitāte par efektīvu sadarbību</w:t>
      </w:r>
      <w:bookmarkEnd w:id="108"/>
      <w:bookmarkEnd w:id="109"/>
    </w:p>
    <w:p w14:paraId="16FB58EA" w14:textId="77777777" w:rsidR="00E708C1" w:rsidRPr="000C2F1E" w:rsidRDefault="00E708C1" w:rsidP="00E708C1">
      <w:r w:rsidRPr="000C2F1E">
        <w:t>Eksperti izvērtē katra pētījuma īstenotāja spēju finansēt pētījuma izmaksas. Papildintensitāte tiek piešķirta, ja ekspertu vērtējums ir pozitīvs un īstenotāji ir spējīgi prezentēt vienošanos par finansējuma attiecību un pētījuma rezultātā rādītā intelektuālā īpašuma sadali:</w:t>
      </w:r>
    </w:p>
    <w:p w14:paraId="438EB464" w14:textId="77777777" w:rsidR="00E708C1" w:rsidRPr="000C2F1E" w:rsidRDefault="00E708C1" w:rsidP="006F31C1">
      <w:pPr>
        <w:pStyle w:val="ListParagraph"/>
        <w:numPr>
          <w:ilvl w:val="0"/>
          <w:numId w:val="37"/>
        </w:numPr>
        <w:shd w:val="clear" w:color="auto" w:fill="auto"/>
        <w:spacing w:after="0"/>
      </w:pPr>
      <w:r w:rsidRPr="000C2F1E">
        <w:t>pētniecības projekta ietvaros ir efektīva sadarbība ar vismaz vienu sīko (mikro), mazo vai vidējo komersantu un viens komersants nesedz vairāk par 70 % no kopējām attiecināmajām izmaksām;</w:t>
      </w:r>
    </w:p>
    <w:p w14:paraId="54AB40AF" w14:textId="77777777" w:rsidR="00E708C1" w:rsidRPr="000C2F1E" w:rsidRDefault="00E708C1" w:rsidP="006F31C1">
      <w:pPr>
        <w:pStyle w:val="ListParagraph"/>
        <w:numPr>
          <w:ilvl w:val="0"/>
          <w:numId w:val="37"/>
        </w:numPr>
        <w:shd w:val="clear" w:color="auto" w:fill="auto"/>
        <w:spacing w:after="0"/>
      </w:pPr>
      <w:r w:rsidRPr="000C2F1E">
        <w:lastRenderedPageBreak/>
        <w:t>pētniecības projekta ietvaros ir efektīva sadarbība ar vismaz vienu pētniecības un zināšanu izplatīšanas organizāciju, un pētniecības un zināšanu izplatīšanas organizācija sedz vismaz 10 % no kopējām attiecināmajām izmaksām, un tai ir tiesības publicēt sava pētījuma rezultātus.</w:t>
      </w:r>
    </w:p>
    <w:p w14:paraId="48DD6A0B" w14:textId="77777777" w:rsidR="00E708C1" w:rsidRDefault="00E708C1" w:rsidP="00E708C1">
      <w:r w:rsidRPr="000C2F1E">
        <w:t>Projektu atlases padome kontrolē plānotās finansēšanas attiecības izpildi projekta laikā, veicot analīzi pētījuma vidū (atbilstoši iesniegtajam laika grafikam) vai sešu mēnešu laikā pēc projekta uzsākšanas. Ja plānotā finansēšanas proporcija starp pētījuma īstenotājiem netiek ievērota, papildintensitāte par efektīvu sadarbību tiek atcelta.</w:t>
      </w:r>
    </w:p>
    <w:p w14:paraId="7139F41F" w14:textId="77777777" w:rsidR="00E708C1" w:rsidRDefault="00E708C1" w:rsidP="006F31C1">
      <w:pPr>
        <w:pStyle w:val="Heading4"/>
        <w:numPr>
          <w:ilvl w:val="3"/>
          <w:numId w:val="41"/>
        </w:numPr>
      </w:pPr>
      <w:bookmarkStart w:id="110" w:name="_Toc451018183"/>
      <w:bookmarkStart w:id="111" w:name="_Toc113267433"/>
      <w:r>
        <w:t>Papildintensitātes izmaksa</w:t>
      </w:r>
      <w:bookmarkEnd w:id="110"/>
      <w:bookmarkEnd w:id="111"/>
    </w:p>
    <w:p w14:paraId="11AABA3A" w14:textId="6EFA6B04" w:rsidR="00872E34" w:rsidRDefault="00E708C1" w:rsidP="00605FF8">
      <w:r w:rsidRPr="000C2F1E">
        <w:t>Kompetences centrs pieprasījumu par papildintensitāti iesniedz pēc projekta noslēguma vai piemēro katrā maksājuma pieprasījumā, ja to atļauj CFLA nosacījumi</w:t>
      </w:r>
      <w:r>
        <w:t xml:space="preserve">. Abos gadījumos ERAF atbalsta apjoms, kas saistīts ar papildintensitāti, īstenotājiem tiek izmaksāts pēc projekta noslēguma un MK noteikumos minēto nosacījumu izpildes. </w:t>
      </w:r>
      <w:r w:rsidRPr="000C2F1E">
        <w:t>Pētījuma publicēšanas gadījumā papildintensitāte projektam tiek piemērota pēc abu publikāciju pieņemšanu publicēšanā.</w:t>
      </w:r>
    </w:p>
    <w:p w14:paraId="2DCC0E2A" w14:textId="77777777" w:rsidR="00A34972" w:rsidRPr="002319D2" w:rsidRDefault="00A34972" w:rsidP="002319D2">
      <w:pPr>
        <w:pStyle w:val="Heading1"/>
      </w:pPr>
      <w:bookmarkStart w:id="112" w:name="_Toc119072240"/>
      <w:r w:rsidRPr="002319D2">
        <w:lastRenderedPageBreak/>
        <w:t>Cita būtiska informācija</w:t>
      </w:r>
      <w:bookmarkEnd w:id="112"/>
    </w:p>
    <w:p w14:paraId="0848224D" w14:textId="77777777" w:rsidR="00A34972" w:rsidRPr="00CF71F7" w:rsidRDefault="00A34972" w:rsidP="002319D2">
      <w:pPr>
        <w:pStyle w:val="Heading2"/>
      </w:pPr>
      <w:bookmarkStart w:id="113" w:name="_Toc119072241"/>
      <w:r w:rsidRPr="008767C3">
        <w:t>Kompetences centra darbības pašnovērtējums 2007.-2013.g. perioda programmas</w:t>
      </w:r>
      <w:r w:rsidRPr="00CF71F7">
        <w:t xml:space="preserve"> ietvaros, ja attiecināms</w:t>
      </w:r>
      <w:bookmarkEnd w:id="113"/>
    </w:p>
    <w:p w14:paraId="76007855" w14:textId="77777777" w:rsidR="00CF71F7" w:rsidRDefault="00CF71F7" w:rsidP="00CF71F7">
      <w:r>
        <w:t>Kompetences centrs daļēji turpina ar farmācijas industrijas tēmām saistītā SIA “Pharma and Chemistry Competence Centre of Latvia” (saīsināti PCCCL) darbību. No 4 PCCCL zinātniskajiem virzieniem tālāk tiek attīstīti 3 – sintētisko zāļu izstrāde, dabas vielu zāļu un kosmētikas izstrādes un zāļu drošības un efektivitātes pētījumi. Energotaupošo ķīmijas tehnoloģiju zinātniskais virziens sājā plānošanas periodā tiks realizēts Viedo materiālu kompetences centrā.</w:t>
      </w:r>
    </w:p>
    <w:p w14:paraId="0B153A09" w14:textId="57E7F796" w:rsidR="00CF71F7" w:rsidRDefault="00CF71F7" w:rsidP="00CF71F7">
      <w:r>
        <w:t>Atbilstoši Latvijas Viedās specializācijas stratēģijai SIA “Farmācijas, biomedicīnas un medicīnas tehnoloģiju Kompetences centrs” (turpmāk FBMTKC) papildus Latvijā vēsturiski spēcīgajam oriģinālo un pēcpatentu zāļu</w:t>
      </w:r>
      <w:r w:rsidR="00B8515D">
        <w:t>,</w:t>
      </w:r>
      <w:r>
        <w:t xml:space="preserve"> kā arī aktīvo farmaceitisko vielu izstrādes rūpniecisko pētījumu un eksperimentālo izstrāžu projektiem atraktivizēs Latvijas inovatīvos uzņēmumus pētniecības projektu realizēšanai medicīnas tehnoloģiju un biotehnoloģijas virzienos. </w:t>
      </w:r>
    </w:p>
    <w:p w14:paraId="48602723" w14:textId="34720651" w:rsidR="00CF71F7" w:rsidRDefault="00CF71F7" w:rsidP="00CF71F7">
      <w:r w:rsidRPr="00FF3491">
        <w:t>Kompetences centra dalībnieki, valde un Sadarbības partneru kodols ir tas pats, ka</w:t>
      </w:r>
      <w:r>
        <w:t>s</w:t>
      </w:r>
      <w:r w:rsidRPr="00FF3491">
        <w:t xml:space="preserve"> iepriekšējā periodā atbalstu saņēmušajā </w:t>
      </w:r>
      <w:r>
        <w:t>Kompetences centrā PCCCL. Virkne projektu izmanto iepriekš veikto pētījumu rezultātus un Sadarbības partneri plāno turpināt attīstīt produktus, kuru izstrāde ir sākta PCCCL, īpaši atzīmējot AS “Grindeks” finansēto kardiovaskulārās oriģinālmolekulas GX-EG pētīšanu, sadarbībā ar Latvijas Organiskās sintēzes institūtu (OSI), AS “Grindeks” iegādājoties intelektuālās īpašuma tiesības uz šo molekulu no OSI.</w:t>
      </w:r>
    </w:p>
    <w:p w14:paraId="2BCA4893" w14:textId="7A87DF05" w:rsidR="00CF71F7" w:rsidRDefault="00CF71F7" w:rsidP="00CF71F7">
      <w:r>
        <w:t xml:space="preserve">Būtiskākā pozitīvā PCCCL pieredze bija iespēja iedrošināt uzņēmumus ieguldīt finansējumu produktu izstrādei </w:t>
      </w:r>
      <w:r w:rsidR="004E795D">
        <w:t>specifiskiem</w:t>
      </w:r>
      <w:r>
        <w:t xml:space="preserve"> tirgiem, kā piemēram DA Āzijas valstu tirgiem, ko paši saviem spēkiem būtu darījuši vismaz 3 reizes lēnākā tempā. </w:t>
      </w:r>
    </w:p>
    <w:p w14:paraId="0A4F0799" w14:textId="4983AF3D" w:rsidR="00CF71F7" w:rsidRDefault="00CF71F7" w:rsidP="00CF71F7">
      <w:r>
        <w:t xml:space="preserve">Svarīgs bija arī Kompetences centru programmas gala dizains 2012. gada beigās ar individuālo projektu </w:t>
      </w:r>
      <w:r w:rsidR="004E795D">
        <w:t>kategorijas</w:t>
      </w:r>
      <w:r>
        <w:t xml:space="preserve"> ieviešanu, atbalstot P&amp;A projektus tādā veidā, kas ir vistuvākais biznesa videi – t.i. salīdzinoši vienkārša atsevišķu projektu uzsākšanas, izmaiņu un pārtraukšanas procedūra, kas ļauj uzņēmumiem veikt reālas, tirgum domātas inovācijas, kad zināšanas/informācija tiek pārvērstas tirgū pieprasītā produktā vai tehnoloģijā. PCCCL pētījumu programmas ietvaros bija iespējams veikt tieši tik produkta, tā īpašību un pētāmo jautājumu izmaiņas cik prasa projekta vajadzības neierobežojoties ar pārmērīgām birokrātiskām izmaksām. Rezultātā uzņēmēji atzina, ka tie savlaicīgi un ātri apturēja neveiksmīgos pētniecības projektos, nevis turpināja nesekmīgus no produkta vai tehnoloģijas konkurētspējas viedokļa, projektus neizmaināma birokrātiska sloga dēļ.</w:t>
      </w:r>
    </w:p>
    <w:p w14:paraId="14E3240B" w14:textId="77777777" w:rsidR="00CF71F7" w:rsidRDefault="00CF71F7" w:rsidP="00CF71F7">
      <w:r>
        <w:t>PCCCL pozitīvā pieredze:</w:t>
      </w:r>
    </w:p>
    <w:p w14:paraId="68EA7AF5" w14:textId="5BE68AB4" w:rsidR="00CF71F7" w:rsidRDefault="00CF71F7" w:rsidP="006F31C1">
      <w:pPr>
        <w:pStyle w:val="ListParagraph"/>
        <w:keepLines w:val="0"/>
        <w:numPr>
          <w:ilvl w:val="0"/>
          <w:numId w:val="21"/>
        </w:numPr>
        <w:shd w:val="clear" w:color="auto" w:fill="auto"/>
        <w:spacing w:before="0" w:after="200" w:line="276" w:lineRule="auto"/>
        <w:jc w:val="left"/>
      </w:pPr>
      <w:r>
        <w:t xml:space="preserve">Vairumā gadījumos pētījumi tiek turpināti, paplašināti un padziļināti, kas galu galā noved pie jaunu produktu un tehnoloģiju izstrādāšanas. </w:t>
      </w:r>
      <w:r w:rsidR="004E795D">
        <w:t>Piemēram</w:t>
      </w:r>
      <w:r>
        <w:t xml:space="preserve"> SIA “Stenders” un SIA “Pharmidea” FBMTKC ietvaros izstrādās produktus ar īpašībām, kas specifiski apmierina patērētājus DA Āzijas tirgos, un kas atšķiras no ES prasībām kaut vai klimatisko apstākļu dēļ.</w:t>
      </w:r>
    </w:p>
    <w:p w14:paraId="067BF55B" w14:textId="36CEA70F" w:rsidR="00CF71F7" w:rsidRDefault="00CF71F7" w:rsidP="006F31C1">
      <w:pPr>
        <w:pStyle w:val="ListParagraph"/>
        <w:keepLines w:val="0"/>
        <w:numPr>
          <w:ilvl w:val="0"/>
          <w:numId w:val="21"/>
        </w:numPr>
        <w:shd w:val="clear" w:color="auto" w:fill="auto"/>
        <w:spacing w:before="0" w:after="200" w:line="276" w:lineRule="auto"/>
        <w:jc w:val="left"/>
      </w:pPr>
      <w:r>
        <w:t xml:space="preserve">Daudzi uzņēmēji ieguvuši pieredzi darbam ar ERAF projektiem un, noticējuši saviem spēkiem, vēlas to turpināt. </w:t>
      </w:r>
      <w:r w:rsidR="004E795D">
        <w:t>Piemēram</w:t>
      </w:r>
      <w:r>
        <w:t xml:space="preserve"> AS “Olainfarm”, pateicoties PCCCL veiksmes stāstiem dabas vielu eko-kosmētikas produktu izstrādē un to sekmēm jaunu tirgus nišu iegūšanā Skandināvijā, ir nolēmusi turpināt produktu portfolio diversifikāciju </w:t>
      </w:r>
      <w:r>
        <w:lastRenderedPageBreak/>
        <w:t>re</w:t>
      </w:r>
      <w:r w:rsidR="004E795D">
        <w:t>c</w:t>
      </w:r>
      <w:r>
        <w:t>epšu zāles -&gt; bezrecepšu zāles –&gt; uztura bagātinātāji, klāt tam pievienojot funkcionālās kosmētikas projektu FBMTKC ietvarā.</w:t>
      </w:r>
    </w:p>
    <w:p w14:paraId="5C804A32" w14:textId="523C1DF9" w:rsidR="00CF71F7" w:rsidRDefault="00CF71F7" w:rsidP="006F31C1">
      <w:pPr>
        <w:pStyle w:val="ListParagraph"/>
        <w:keepLines w:val="0"/>
        <w:numPr>
          <w:ilvl w:val="0"/>
          <w:numId w:val="21"/>
        </w:numPr>
        <w:shd w:val="clear" w:color="auto" w:fill="auto"/>
        <w:spacing w:before="0" w:after="200" w:line="276" w:lineRule="auto"/>
        <w:jc w:val="left"/>
      </w:pPr>
      <w:r>
        <w:t xml:space="preserve">No 22 sākotnēji plānotajiem rūpnieciskajiem pētījumiem PCCCL fleksibilitāte galarezultātā lāva realizēt 39 projektus, </w:t>
      </w:r>
      <w:r w:rsidRPr="000E745A">
        <w:t>no kuriem 6</w:t>
      </w:r>
      <w:r>
        <w:t xml:space="preserve"> bija zinātniski nesekmīgi, netika sasniegts plānotais rezultāts, taču arī šādi pētnieciskie projekti deva uzņēmumiem vērtīgu informāciju</w:t>
      </w:r>
      <w:r w:rsidR="00B8515D">
        <w:t xml:space="preserve">, </w:t>
      </w:r>
      <w:r>
        <w:t>kuros tehnoloģiskajos virzienos ir pārāk riskanti ieguldīt naudu un saņemt plānoto atdevi.</w:t>
      </w:r>
    </w:p>
    <w:p w14:paraId="40AB4B76" w14:textId="77777777" w:rsidR="00CF71F7" w:rsidRDefault="00CF71F7" w:rsidP="006F31C1">
      <w:pPr>
        <w:pStyle w:val="ListParagraph"/>
        <w:keepLines w:val="0"/>
        <w:numPr>
          <w:ilvl w:val="0"/>
          <w:numId w:val="21"/>
        </w:numPr>
        <w:shd w:val="clear" w:color="auto" w:fill="auto"/>
        <w:spacing w:before="0" w:after="200" w:line="276" w:lineRule="auto"/>
        <w:jc w:val="left"/>
      </w:pPr>
      <w:r>
        <w:t>Projekta gaitā pētījumu finansētājiem pievienojās 7 mazie uzņēmumi un 3 vidējie uzņēmumi;</w:t>
      </w:r>
    </w:p>
    <w:p w14:paraId="067ACBE8" w14:textId="77777777" w:rsidR="00CF71F7" w:rsidRDefault="00CF71F7" w:rsidP="006F31C1">
      <w:pPr>
        <w:pStyle w:val="ListParagraph"/>
        <w:keepLines w:val="0"/>
        <w:numPr>
          <w:ilvl w:val="0"/>
          <w:numId w:val="21"/>
        </w:numPr>
        <w:shd w:val="clear" w:color="auto" w:fill="auto"/>
        <w:spacing w:before="0" w:after="200" w:line="276" w:lineRule="auto"/>
        <w:jc w:val="left"/>
      </w:pPr>
      <w:r>
        <w:t>PCCCL tika regulāri nodarbināti 70-80 pētnieki, kas pēc tam turpināja darbu uzņēmumos;</w:t>
      </w:r>
    </w:p>
    <w:p w14:paraId="2FED352F" w14:textId="77777777" w:rsidR="00CF71F7" w:rsidRDefault="00CF71F7" w:rsidP="006F31C1">
      <w:pPr>
        <w:pStyle w:val="ListParagraph"/>
        <w:keepLines w:val="0"/>
        <w:numPr>
          <w:ilvl w:val="0"/>
          <w:numId w:val="21"/>
        </w:numPr>
        <w:shd w:val="clear" w:color="auto" w:fill="auto"/>
        <w:spacing w:before="0" w:after="200" w:line="276" w:lineRule="auto"/>
        <w:jc w:val="left"/>
      </w:pPr>
      <w:r>
        <w:t>Tika nodrošināta projektu izpildes kontrole ceturkšņa ietvaros, kas ļāva savlaicīgi konstatēt novirzes no projektu paredzētā realizācijas laika un apjoma, lai, nepieciešamības gadījumā, veiktu projekta izmaiņas;</w:t>
      </w:r>
    </w:p>
    <w:p w14:paraId="3A1E24DD" w14:textId="74C36E01" w:rsidR="00CF71F7" w:rsidRDefault="00CF71F7" w:rsidP="006F31C1">
      <w:pPr>
        <w:pStyle w:val="ListParagraph"/>
        <w:keepLines w:val="0"/>
        <w:numPr>
          <w:ilvl w:val="0"/>
          <w:numId w:val="21"/>
        </w:numPr>
        <w:shd w:val="clear" w:color="auto" w:fill="auto"/>
        <w:spacing w:before="0" w:after="200" w:line="276" w:lineRule="auto"/>
        <w:jc w:val="left"/>
      </w:pPr>
      <w:r>
        <w:t xml:space="preserve">PCCCL pētniecības projektu gaitā tika projektu finansētāju interesēs tika nodibinātas attiecības ar vairāk nekā 25 specializētām </w:t>
      </w:r>
      <w:r>
        <w:rPr>
          <w:rFonts w:eastAsia="Times New Roman" w:cstheme="minorHAnsi"/>
          <w:color w:val="000000" w:themeColor="text1"/>
          <w:kern w:val="24"/>
        </w:rPr>
        <w:t>P&amp;A servisu</w:t>
      </w:r>
      <w:r w:rsidRPr="000E745A">
        <w:rPr>
          <w:rFonts w:eastAsia="Times New Roman" w:cstheme="minorHAnsi"/>
          <w:color w:val="000000" w:themeColor="text1"/>
          <w:kern w:val="24"/>
          <w:szCs w:val="22"/>
        </w:rPr>
        <w:t xml:space="preserve"> </w:t>
      </w:r>
      <w:r>
        <w:rPr>
          <w:rFonts w:eastAsia="Times New Roman" w:cstheme="minorHAnsi"/>
          <w:color w:val="000000" w:themeColor="text1"/>
          <w:kern w:val="24"/>
          <w:szCs w:val="22"/>
        </w:rPr>
        <w:t xml:space="preserve">firmām Latvijā un ārzemēs, jo Latvijas zinātniskās institūcijas nebija spējīgas piedāvāt </w:t>
      </w:r>
      <w:r>
        <w:rPr>
          <w:rFonts w:eastAsia="Times New Roman" w:cstheme="minorHAnsi"/>
          <w:color w:val="000000" w:themeColor="text1"/>
          <w:kern w:val="24"/>
        </w:rPr>
        <w:t>P&amp;A servisu</w:t>
      </w:r>
      <w:r>
        <w:rPr>
          <w:rFonts w:eastAsia="Times New Roman" w:cstheme="minorHAnsi"/>
          <w:color w:val="000000" w:themeColor="text1"/>
          <w:kern w:val="24"/>
          <w:szCs w:val="22"/>
        </w:rPr>
        <w:t>, kāds ir nepieciešams rūpnieciskajiem pētījumiem farmācijā un kosmētikā.</w:t>
      </w:r>
    </w:p>
    <w:tbl>
      <w:tblPr>
        <w:tblW w:w="9216" w:type="dxa"/>
        <w:tblInd w:w="786" w:type="dxa"/>
        <w:tblCellMar>
          <w:left w:w="0" w:type="dxa"/>
          <w:right w:w="0" w:type="dxa"/>
        </w:tblCellMar>
        <w:tblLook w:val="0420" w:firstRow="1" w:lastRow="0" w:firstColumn="0" w:lastColumn="0" w:noHBand="0" w:noVBand="1"/>
      </w:tblPr>
      <w:tblGrid>
        <w:gridCol w:w="4539"/>
        <w:gridCol w:w="4677"/>
      </w:tblGrid>
      <w:tr w:rsidR="00CF71F7" w:rsidRPr="000E745A" w14:paraId="10146656" w14:textId="77777777" w:rsidTr="00CF71F7">
        <w:trPr>
          <w:trHeight w:val="378"/>
        </w:trPr>
        <w:tc>
          <w:tcPr>
            <w:tcW w:w="453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3179157E" w14:textId="77777777" w:rsidR="00CF71F7" w:rsidRPr="00B8515D" w:rsidRDefault="00CF71F7" w:rsidP="00CF71F7">
            <w:pPr>
              <w:spacing w:before="0" w:after="0"/>
              <w:jc w:val="left"/>
              <w:rPr>
                <w:rFonts w:eastAsia="Times New Roman" w:cstheme="minorHAnsi"/>
                <w:color w:val="000000" w:themeColor="text1"/>
                <w:kern w:val="24"/>
              </w:rPr>
            </w:pPr>
            <w:r w:rsidRPr="00B8515D">
              <w:rPr>
                <w:rFonts w:eastAsia="Times New Roman" w:cstheme="minorHAnsi"/>
                <w:color w:val="000000" w:themeColor="text1"/>
                <w:kern w:val="24"/>
              </w:rPr>
              <w:t>Latvijas zinātniskās institūcijas</w:t>
            </w:r>
          </w:p>
        </w:tc>
        <w:tc>
          <w:tcPr>
            <w:tcW w:w="467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0D3A4922" w14:textId="04105C06" w:rsidR="00CF71F7" w:rsidRPr="00B8515D" w:rsidRDefault="00CF71F7" w:rsidP="00CF71F7">
            <w:pPr>
              <w:spacing w:before="0" w:after="0"/>
              <w:jc w:val="left"/>
              <w:rPr>
                <w:rFonts w:eastAsia="Times New Roman" w:cstheme="minorHAnsi"/>
                <w:color w:val="000000" w:themeColor="text1"/>
                <w:kern w:val="24"/>
              </w:rPr>
            </w:pPr>
            <w:r w:rsidRPr="00B8515D">
              <w:rPr>
                <w:rFonts w:eastAsia="Times New Roman" w:cstheme="minorHAnsi"/>
                <w:color w:val="000000" w:themeColor="text1"/>
                <w:kern w:val="24"/>
              </w:rPr>
              <w:t>Ārzemju zinātniskās institūcijas</w:t>
            </w:r>
          </w:p>
        </w:tc>
      </w:tr>
      <w:tr w:rsidR="00CF71F7" w:rsidRPr="000E745A" w14:paraId="44DE19BB" w14:textId="77777777" w:rsidTr="00CF71F7">
        <w:trPr>
          <w:trHeight w:val="584"/>
        </w:trPr>
        <w:tc>
          <w:tcPr>
            <w:tcW w:w="453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79A6A191" w14:textId="77777777" w:rsidR="00CF71F7" w:rsidRPr="002319D2" w:rsidRDefault="00CF71F7" w:rsidP="00CF71F7">
            <w:pPr>
              <w:spacing w:before="0" w:after="0"/>
              <w:jc w:val="left"/>
              <w:rPr>
                <w:rFonts w:eastAsia="Times New Roman" w:cstheme="minorHAnsi"/>
              </w:rPr>
            </w:pPr>
            <w:r w:rsidRPr="000E745A">
              <w:rPr>
                <w:rFonts w:cstheme="minorHAnsi"/>
                <w:color w:val="000000" w:themeColor="text1"/>
                <w:kern w:val="24"/>
              </w:rPr>
              <w:t>1. Latvijas Organiskās sintēzes institūts</w:t>
            </w:r>
          </w:p>
          <w:p w14:paraId="08913DF3" w14:textId="77777777" w:rsidR="00CF71F7" w:rsidRPr="002319D2" w:rsidRDefault="00CF71F7" w:rsidP="00CF71F7">
            <w:pPr>
              <w:spacing w:before="0" w:after="0"/>
              <w:jc w:val="left"/>
              <w:rPr>
                <w:rFonts w:eastAsia="Times New Roman" w:cstheme="minorHAnsi"/>
              </w:rPr>
            </w:pPr>
            <w:r w:rsidRPr="000E745A">
              <w:rPr>
                <w:rFonts w:cstheme="minorHAnsi"/>
                <w:color w:val="000000" w:themeColor="text1"/>
                <w:kern w:val="24"/>
              </w:rPr>
              <w:t xml:space="preserve">2. </w:t>
            </w:r>
            <w:r w:rsidRPr="002319D2">
              <w:rPr>
                <w:rFonts w:cstheme="minorHAnsi"/>
                <w:color w:val="000000" w:themeColor="text1"/>
                <w:kern w:val="24"/>
              </w:rPr>
              <w:t>RTU Organi</w:t>
            </w:r>
            <w:r w:rsidRPr="000E745A">
              <w:rPr>
                <w:rFonts w:cstheme="minorHAnsi"/>
                <w:color w:val="000000" w:themeColor="text1"/>
                <w:kern w:val="24"/>
              </w:rPr>
              <w:t>s</w:t>
            </w:r>
            <w:r w:rsidRPr="002319D2">
              <w:rPr>
                <w:rFonts w:cstheme="minorHAnsi"/>
                <w:color w:val="000000" w:themeColor="text1"/>
                <w:kern w:val="24"/>
              </w:rPr>
              <w:t>kās ķīmijas tehnoloģijas institūts</w:t>
            </w:r>
          </w:p>
          <w:p w14:paraId="470259EF" w14:textId="77777777" w:rsidR="00CF71F7" w:rsidRPr="002319D2" w:rsidRDefault="00CF71F7" w:rsidP="00CF71F7">
            <w:pPr>
              <w:spacing w:before="0" w:after="0"/>
              <w:jc w:val="left"/>
              <w:rPr>
                <w:rFonts w:eastAsia="Times New Roman" w:cstheme="minorHAnsi"/>
              </w:rPr>
            </w:pPr>
            <w:r w:rsidRPr="000E745A">
              <w:rPr>
                <w:rFonts w:cstheme="minorHAnsi"/>
                <w:color w:val="000000" w:themeColor="text1"/>
                <w:kern w:val="24"/>
              </w:rPr>
              <w:t xml:space="preserve">3. </w:t>
            </w:r>
            <w:r w:rsidRPr="002319D2">
              <w:rPr>
                <w:rFonts w:cstheme="minorHAnsi"/>
                <w:color w:val="000000" w:themeColor="text1"/>
                <w:kern w:val="24"/>
              </w:rPr>
              <w:t>Koksnes Ķīmijas Institūts</w:t>
            </w:r>
          </w:p>
          <w:p w14:paraId="40410AAE" w14:textId="77777777" w:rsidR="00CF71F7" w:rsidRPr="000E745A" w:rsidRDefault="00CF71F7" w:rsidP="00CF71F7">
            <w:pPr>
              <w:spacing w:before="0" w:after="0"/>
              <w:jc w:val="left"/>
              <w:rPr>
                <w:rFonts w:cstheme="minorHAnsi"/>
                <w:color w:val="000000" w:themeColor="text1"/>
                <w:kern w:val="24"/>
              </w:rPr>
            </w:pPr>
            <w:r w:rsidRPr="000E745A">
              <w:rPr>
                <w:rFonts w:cstheme="minorHAnsi"/>
                <w:color w:val="000000" w:themeColor="text1"/>
                <w:kern w:val="24"/>
              </w:rPr>
              <w:t xml:space="preserve">4. </w:t>
            </w:r>
            <w:r w:rsidRPr="002319D2">
              <w:rPr>
                <w:rFonts w:cstheme="minorHAnsi"/>
                <w:color w:val="000000" w:themeColor="text1"/>
                <w:kern w:val="24"/>
              </w:rPr>
              <w:t xml:space="preserve">LU Ķīmijas </w:t>
            </w:r>
            <w:r w:rsidRPr="000E745A">
              <w:rPr>
                <w:rFonts w:cstheme="minorHAnsi"/>
                <w:color w:val="000000" w:themeColor="text1"/>
                <w:kern w:val="24"/>
              </w:rPr>
              <w:t>fakultāte</w:t>
            </w:r>
          </w:p>
          <w:p w14:paraId="1A437B6C" w14:textId="77777777" w:rsidR="00CF71F7" w:rsidRPr="000E745A" w:rsidRDefault="00CF71F7" w:rsidP="00CF71F7">
            <w:pPr>
              <w:spacing w:before="0" w:after="0"/>
              <w:jc w:val="left"/>
              <w:rPr>
                <w:rFonts w:ascii="Arial" w:eastAsia="Times New Roman" w:hAnsi="Arial" w:cs="Arial"/>
                <w:sz w:val="36"/>
                <w:szCs w:val="36"/>
                <w:lang w:val="en-US"/>
              </w:rPr>
            </w:pPr>
            <w:r w:rsidRPr="000E745A">
              <w:rPr>
                <w:rFonts w:cstheme="minorHAnsi"/>
                <w:color w:val="000000" w:themeColor="text1"/>
                <w:kern w:val="24"/>
              </w:rPr>
              <w:t>5. LU Bioloģijas fakultāte</w:t>
            </w:r>
          </w:p>
        </w:tc>
        <w:tc>
          <w:tcPr>
            <w:tcW w:w="467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29E29948" w14:textId="77777777" w:rsidR="00CF71F7" w:rsidRPr="000E745A" w:rsidRDefault="00CF71F7" w:rsidP="006F31C1">
            <w:pPr>
              <w:keepLines w:val="0"/>
              <w:numPr>
                <w:ilvl w:val="0"/>
                <w:numId w:val="22"/>
              </w:numPr>
              <w:shd w:val="clear" w:color="auto" w:fill="auto"/>
              <w:spacing w:before="0" w:after="0"/>
              <w:ind w:left="1267" w:hanging="1270"/>
              <w:contextualSpacing/>
              <w:jc w:val="left"/>
              <w:rPr>
                <w:rFonts w:eastAsia="Times New Roman" w:cstheme="minorHAnsi"/>
                <w:lang w:val="en-US"/>
              </w:rPr>
            </w:pPr>
            <w:r w:rsidRPr="000E745A">
              <w:rPr>
                <w:rFonts w:eastAsia="Times New Roman" w:cstheme="minorHAnsi"/>
                <w:color w:val="000000" w:themeColor="text1"/>
                <w:kern w:val="24"/>
              </w:rPr>
              <w:t>Tartu universitāte, Igaunija</w:t>
            </w:r>
          </w:p>
          <w:p w14:paraId="751F17B9" w14:textId="77777777" w:rsidR="00CF71F7" w:rsidRPr="000E745A" w:rsidRDefault="00CF71F7" w:rsidP="006F31C1">
            <w:pPr>
              <w:keepLines w:val="0"/>
              <w:numPr>
                <w:ilvl w:val="0"/>
                <w:numId w:val="22"/>
              </w:numPr>
              <w:shd w:val="clear" w:color="auto" w:fill="auto"/>
              <w:spacing w:before="0" w:after="0"/>
              <w:ind w:left="1267" w:hanging="1270"/>
              <w:contextualSpacing/>
              <w:jc w:val="left"/>
              <w:rPr>
                <w:rFonts w:ascii="Arial" w:eastAsia="Times New Roman" w:hAnsi="Arial" w:cs="Arial"/>
                <w:sz w:val="28"/>
                <w:szCs w:val="36"/>
                <w:lang w:val="en-US"/>
              </w:rPr>
            </w:pPr>
            <w:r w:rsidRPr="000E745A">
              <w:rPr>
                <w:rFonts w:eastAsia="Times New Roman" w:cstheme="minorHAnsi"/>
                <w:color w:val="000000" w:themeColor="text1"/>
                <w:kern w:val="24"/>
              </w:rPr>
              <w:t>Turku universitāte, Somija</w:t>
            </w:r>
          </w:p>
        </w:tc>
      </w:tr>
      <w:tr w:rsidR="00CF71F7" w:rsidRPr="000E745A" w14:paraId="33B7BBD4" w14:textId="77777777" w:rsidTr="00CF71F7">
        <w:trPr>
          <w:trHeight w:val="380"/>
        </w:trPr>
        <w:tc>
          <w:tcPr>
            <w:tcW w:w="453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178DE8C9" w14:textId="77777777" w:rsidR="00CF71F7" w:rsidRPr="000E745A" w:rsidRDefault="00CF71F7" w:rsidP="00CF71F7">
            <w:pPr>
              <w:spacing w:before="0" w:after="0"/>
              <w:jc w:val="left"/>
              <w:rPr>
                <w:rFonts w:eastAsia="Times New Roman" w:cstheme="minorHAnsi"/>
                <w:lang w:val="en-US"/>
              </w:rPr>
            </w:pPr>
            <w:r w:rsidRPr="000E745A">
              <w:rPr>
                <w:rFonts w:eastAsia="Times New Roman" w:cstheme="minorHAnsi"/>
                <w:color w:val="000000" w:themeColor="text1"/>
                <w:kern w:val="24"/>
              </w:rPr>
              <w:t xml:space="preserve">Latvijas specializētās </w:t>
            </w:r>
            <w:r>
              <w:rPr>
                <w:rFonts w:eastAsia="Times New Roman" w:cstheme="minorHAnsi"/>
                <w:color w:val="000000" w:themeColor="text1"/>
                <w:kern w:val="24"/>
              </w:rPr>
              <w:t>P&amp;A servisu</w:t>
            </w:r>
            <w:r w:rsidRPr="000E745A">
              <w:rPr>
                <w:rFonts w:eastAsia="Times New Roman" w:cstheme="minorHAnsi"/>
                <w:color w:val="000000" w:themeColor="text1"/>
                <w:kern w:val="24"/>
              </w:rPr>
              <w:t xml:space="preserve"> firmas</w:t>
            </w:r>
          </w:p>
        </w:tc>
        <w:tc>
          <w:tcPr>
            <w:tcW w:w="467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3A28364B" w14:textId="77777777" w:rsidR="00CF71F7" w:rsidRPr="000E745A" w:rsidRDefault="00CF71F7" w:rsidP="00CF71F7">
            <w:pPr>
              <w:spacing w:before="0" w:after="0"/>
              <w:jc w:val="left"/>
              <w:rPr>
                <w:rFonts w:eastAsia="Times New Roman" w:cstheme="minorHAnsi"/>
                <w:lang w:val="en-US"/>
              </w:rPr>
            </w:pPr>
            <w:r w:rsidRPr="000E745A">
              <w:rPr>
                <w:rFonts w:eastAsia="Times New Roman" w:cstheme="minorHAnsi"/>
                <w:color w:val="000000" w:themeColor="text1"/>
                <w:kern w:val="24"/>
              </w:rPr>
              <w:t xml:space="preserve">Ārzemju specializētās </w:t>
            </w:r>
            <w:r>
              <w:rPr>
                <w:rFonts w:eastAsia="Times New Roman" w:cstheme="minorHAnsi"/>
                <w:color w:val="000000" w:themeColor="text1"/>
                <w:kern w:val="24"/>
              </w:rPr>
              <w:t>P&amp;A servisu</w:t>
            </w:r>
            <w:r w:rsidRPr="000E745A">
              <w:rPr>
                <w:rFonts w:eastAsia="Times New Roman" w:cstheme="minorHAnsi"/>
                <w:color w:val="000000" w:themeColor="text1"/>
                <w:kern w:val="24"/>
              </w:rPr>
              <w:t xml:space="preserve"> firmas</w:t>
            </w:r>
          </w:p>
        </w:tc>
      </w:tr>
      <w:tr w:rsidR="00CF71F7" w:rsidRPr="000E745A" w14:paraId="2FB972ED" w14:textId="77777777" w:rsidTr="00CF71F7">
        <w:trPr>
          <w:trHeight w:val="584"/>
        </w:trPr>
        <w:tc>
          <w:tcPr>
            <w:tcW w:w="453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2AAD9307" w14:textId="1322A9F1" w:rsidR="00CF71F7" w:rsidRPr="000E745A" w:rsidRDefault="00CF71F7" w:rsidP="00CF71F7">
            <w:pPr>
              <w:spacing w:before="0" w:after="0"/>
              <w:jc w:val="left"/>
              <w:rPr>
                <w:rFonts w:eastAsia="Times New Roman" w:cstheme="minorHAnsi"/>
                <w:lang w:val="en-US"/>
              </w:rPr>
            </w:pPr>
            <w:r w:rsidRPr="000E745A">
              <w:rPr>
                <w:rFonts w:cstheme="minorHAnsi"/>
                <w:color w:val="000000" w:themeColor="text1"/>
                <w:kern w:val="24"/>
              </w:rPr>
              <w:t xml:space="preserve">1. </w:t>
            </w:r>
            <w:r w:rsidRPr="000E745A">
              <w:rPr>
                <w:rFonts w:cstheme="minorHAnsi"/>
                <w:color w:val="000000" w:themeColor="text1"/>
                <w:kern w:val="24"/>
                <w:lang w:val="en-US"/>
              </w:rPr>
              <w:t>SIA InCell (šūnu pētījumi </w:t>
            </w:r>
            <w:r w:rsidRPr="000E745A">
              <w:rPr>
                <w:rFonts w:cstheme="minorHAnsi"/>
                <w:i/>
                <w:iCs/>
                <w:color w:val="000000" w:themeColor="text1"/>
                <w:kern w:val="24"/>
                <w:lang w:val="en-US"/>
              </w:rPr>
              <w:t>in vitro</w:t>
            </w:r>
            <w:r w:rsidRPr="000E745A">
              <w:rPr>
                <w:rFonts w:cstheme="minorHAnsi"/>
                <w:color w:val="000000" w:themeColor="text1"/>
                <w:kern w:val="24"/>
                <w:lang w:val="en-US"/>
              </w:rPr>
              <w:t>)</w:t>
            </w:r>
          </w:p>
          <w:p w14:paraId="5FEE334E" w14:textId="77777777" w:rsidR="00CF71F7" w:rsidRPr="000E745A" w:rsidRDefault="00CF71F7" w:rsidP="00CF71F7">
            <w:pPr>
              <w:spacing w:before="0" w:after="0"/>
              <w:jc w:val="left"/>
              <w:rPr>
                <w:rFonts w:eastAsia="Times New Roman" w:cstheme="minorHAnsi"/>
                <w:lang w:val="en-US"/>
              </w:rPr>
            </w:pPr>
            <w:r w:rsidRPr="000E745A">
              <w:rPr>
                <w:rFonts w:cstheme="minorHAnsi"/>
                <w:color w:val="000000" w:themeColor="text1"/>
                <w:kern w:val="24"/>
              </w:rPr>
              <w:t xml:space="preserve">2. </w:t>
            </w:r>
            <w:r w:rsidRPr="000E745A">
              <w:rPr>
                <w:rFonts w:cstheme="minorHAnsi"/>
                <w:color w:val="000000" w:themeColor="text1"/>
                <w:kern w:val="24"/>
                <w:lang w:val="en-US"/>
              </w:rPr>
              <w:t xml:space="preserve">SIA </w:t>
            </w:r>
            <w:r w:rsidRPr="000E745A">
              <w:rPr>
                <w:rFonts w:cstheme="minorHAnsi"/>
                <w:color w:val="000000" w:themeColor="text1"/>
                <w:kern w:val="24"/>
              </w:rPr>
              <w:t>I</w:t>
            </w:r>
            <w:r w:rsidRPr="000E745A">
              <w:rPr>
                <w:rFonts w:cstheme="minorHAnsi"/>
                <w:color w:val="000000" w:themeColor="text1"/>
                <w:kern w:val="24"/>
                <w:lang w:val="en-US"/>
              </w:rPr>
              <w:t>P konsultācijas(patentpētījumi)</w:t>
            </w:r>
          </w:p>
          <w:p w14:paraId="50332747" w14:textId="77777777" w:rsidR="00CF71F7" w:rsidRPr="000E745A" w:rsidRDefault="00CF71F7" w:rsidP="00CF71F7">
            <w:pPr>
              <w:spacing w:before="0" w:after="0"/>
              <w:jc w:val="left"/>
              <w:rPr>
                <w:rFonts w:eastAsia="Times New Roman" w:cstheme="minorHAnsi"/>
                <w:lang w:val="en-US"/>
              </w:rPr>
            </w:pPr>
            <w:r w:rsidRPr="000E745A">
              <w:rPr>
                <w:rFonts w:cstheme="minorHAnsi"/>
                <w:color w:val="000000" w:themeColor="text1"/>
                <w:kern w:val="24"/>
              </w:rPr>
              <w:t xml:space="preserve">3. SIA </w:t>
            </w:r>
            <w:r w:rsidRPr="000E745A">
              <w:rPr>
                <w:rFonts w:cstheme="minorHAnsi"/>
                <w:color w:val="000000" w:themeColor="text1"/>
                <w:kern w:val="24"/>
                <w:lang w:val="en-US"/>
              </w:rPr>
              <w:t>Neiro-Derma (in vivo pētījumi)</w:t>
            </w:r>
          </w:p>
          <w:p w14:paraId="5576B6DE" w14:textId="77777777" w:rsidR="00CF71F7" w:rsidRPr="000E745A" w:rsidRDefault="00CF71F7" w:rsidP="00CF71F7">
            <w:pPr>
              <w:spacing w:before="0" w:after="0"/>
              <w:jc w:val="left"/>
              <w:rPr>
                <w:rFonts w:eastAsia="Times New Roman" w:cstheme="minorHAnsi"/>
                <w:lang w:val="en-US"/>
              </w:rPr>
            </w:pPr>
            <w:r w:rsidRPr="000E745A">
              <w:rPr>
                <w:rFonts w:cstheme="minorHAnsi"/>
                <w:color w:val="000000" w:themeColor="text1"/>
                <w:kern w:val="24"/>
              </w:rPr>
              <w:t xml:space="preserve">4. SIA </w:t>
            </w:r>
            <w:r w:rsidRPr="000E745A">
              <w:rPr>
                <w:rFonts w:cstheme="minorHAnsi"/>
                <w:color w:val="000000" w:themeColor="text1"/>
                <w:kern w:val="24"/>
                <w:lang w:val="en-US"/>
              </w:rPr>
              <w:t>Faneks(hromatogrāfija</w:t>
            </w:r>
            <w:r w:rsidRPr="000E745A">
              <w:rPr>
                <w:rFonts w:cstheme="minorHAnsi"/>
                <w:color w:val="000000" w:themeColor="text1"/>
                <w:kern w:val="24"/>
              </w:rPr>
              <w:t>s tehnoloģijas</w:t>
            </w:r>
            <w:r w:rsidRPr="000E745A">
              <w:rPr>
                <w:rFonts w:cstheme="minorHAnsi"/>
                <w:color w:val="000000" w:themeColor="text1"/>
                <w:kern w:val="24"/>
                <w:lang w:val="en-US"/>
              </w:rPr>
              <w:t>)</w:t>
            </w:r>
          </w:p>
          <w:p w14:paraId="465247F4" w14:textId="77777777" w:rsidR="00CF71F7" w:rsidRPr="000E745A" w:rsidRDefault="00CF71F7" w:rsidP="00CF71F7">
            <w:pPr>
              <w:spacing w:before="0" w:after="0"/>
              <w:jc w:val="left"/>
              <w:rPr>
                <w:rFonts w:eastAsia="Times New Roman" w:cstheme="minorHAnsi"/>
                <w:lang w:val="en-US"/>
              </w:rPr>
            </w:pPr>
            <w:r w:rsidRPr="000E745A">
              <w:rPr>
                <w:rFonts w:cstheme="minorHAnsi"/>
                <w:color w:val="000000" w:themeColor="text1"/>
                <w:kern w:val="24"/>
              </w:rPr>
              <w:t xml:space="preserve">5. SIA </w:t>
            </w:r>
            <w:r w:rsidRPr="000E745A">
              <w:rPr>
                <w:rFonts w:cstheme="minorHAnsi"/>
                <w:color w:val="000000" w:themeColor="text1"/>
                <w:kern w:val="24"/>
                <w:lang w:val="en-US"/>
              </w:rPr>
              <w:t>Institute of Chromatography,</w:t>
            </w:r>
            <w:r w:rsidRPr="000E745A">
              <w:rPr>
                <w:rFonts w:cstheme="minorHAnsi"/>
                <w:color w:val="000000" w:themeColor="text1"/>
                <w:kern w:val="24"/>
              </w:rPr>
              <w:t xml:space="preserve">  </w:t>
            </w:r>
          </w:p>
          <w:p w14:paraId="5D9F254B" w14:textId="77777777" w:rsidR="00CF71F7" w:rsidRPr="002319D2" w:rsidRDefault="00CF71F7" w:rsidP="00CF71F7">
            <w:pPr>
              <w:spacing w:before="0" w:after="0"/>
              <w:jc w:val="left"/>
              <w:rPr>
                <w:rFonts w:eastAsia="Times New Roman" w:cstheme="minorHAnsi"/>
              </w:rPr>
            </w:pPr>
            <w:r w:rsidRPr="000E745A">
              <w:rPr>
                <w:rFonts w:cstheme="minorHAnsi"/>
                <w:color w:val="000000" w:themeColor="text1"/>
                <w:kern w:val="24"/>
              </w:rPr>
              <w:t xml:space="preserve">    </w:t>
            </w:r>
            <w:r w:rsidRPr="002319D2">
              <w:rPr>
                <w:rFonts w:cstheme="minorHAnsi"/>
                <w:color w:val="000000" w:themeColor="text1"/>
                <w:kern w:val="24"/>
              </w:rPr>
              <w:t>(hromatogrāfi</w:t>
            </w:r>
            <w:r w:rsidRPr="000E745A">
              <w:rPr>
                <w:rFonts w:cstheme="minorHAnsi"/>
                <w:color w:val="000000" w:themeColor="text1"/>
                <w:kern w:val="24"/>
              </w:rPr>
              <w:t>skās analīzes</w:t>
            </w:r>
            <w:r w:rsidRPr="002319D2">
              <w:rPr>
                <w:rFonts w:cstheme="minorHAnsi"/>
                <w:color w:val="000000" w:themeColor="text1"/>
                <w:kern w:val="24"/>
              </w:rPr>
              <w:t>)</w:t>
            </w:r>
          </w:p>
          <w:p w14:paraId="3D669D4A" w14:textId="77777777" w:rsidR="00CF71F7" w:rsidRPr="002319D2" w:rsidRDefault="00CF71F7" w:rsidP="00CF71F7">
            <w:pPr>
              <w:spacing w:before="0" w:after="0"/>
              <w:jc w:val="left"/>
              <w:rPr>
                <w:rFonts w:eastAsia="Times New Roman" w:cstheme="minorHAnsi"/>
              </w:rPr>
            </w:pPr>
            <w:r w:rsidRPr="000E745A">
              <w:rPr>
                <w:rFonts w:cstheme="minorHAnsi"/>
                <w:color w:val="000000" w:themeColor="text1"/>
                <w:kern w:val="24"/>
              </w:rPr>
              <w:t xml:space="preserve">6. </w:t>
            </w:r>
            <w:r w:rsidRPr="002319D2">
              <w:rPr>
                <w:rFonts w:cstheme="minorHAnsi"/>
                <w:color w:val="000000" w:themeColor="text1"/>
                <w:kern w:val="24"/>
              </w:rPr>
              <w:t xml:space="preserve">SIA Delta Rīga, Latvija (liofilizācijas </w:t>
            </w:r>
            <w:r w:rsidRPr="000E745A">
              <w:rPr>
                <w:rFonts w:cstheme="minorHAnsi"/>
                <w:color w:val="000000" w:themeColor="text1"/>
                <w:kern w:val="24"/>
              </w:rPr>
              <w:t xml:space="preserve">   </w:t>
            </w:r>
          </w:p>
          <w:p w14:paraId="24AD0111" w14:textId="77777777" w:rsidR="00CF71F7" w:rsidRPr="002319D2" w:rsidRDefault="00CF71F7" w:rsidP="00CF71F7">
            <w:pPr>
              <w:spacing w:before="0" w:after="0"/>
              <w:jc w:val="left"/>
              <w:rPr>
                <w:rFonts w:eastAsia="Times New Roman" w:cstheme="minorHAnsi"/>
              </w:rPr>
            </w:pPr>
            <w:r w:rsidRPr="000E745A">
              <w:rPr>
                <w:rFonts w:cstheme="minorHAnsi"/>
                <w:color w:val="000000" w:themeColor="text1"/>
                <w:kern w:val="24"/>
              </w:rPr>
              <w:t xml:space="preserve">    </w:t>
            </w:r>
            <w:r w:rsidRPr="002319D2">
              <w:rPr>
                <w:rFonts w:cstheme="minorHAnsi"/>
                <w:color w:val="000000" w:themeColor="text1"/>
                <w:kern w:val="24"/>
              </w:rPr>
              <w:t>tehnoloģijas)</w:t>
            </w:r>
          </w:p>
          <w:p w14:paraId="1C0EB335" w14:textId="77777777" w:rsidR="00CF71F7" w:rsidRPr="002319D2" w:rsidRDefault="00CF71F7" w:rsidP="00CF71F7">
            <w:pPr>
              <w:spacing w:before="0" w:after="0"/>
              <w:jc w:val="left"/>
              <w:rPr>
                <w:rFonts w:eastAsia="Times New Roman" w:cstheme="minorHAnsi"/>
              </w:rPr>
            </w:pPr>
            <w:r w:rsidRPr="000E745A">
              <w:rPr>
                <w:rFonts w:cstheme="minorHAnsi"/>
                <w:color w:val="000000" w:themeColor="text1"/>
                <w:kern w:val="24"/>
              </w:rPr>
              <w:t xml:space="preserve">7. SIA  InGre Solutions (smalkā organiskā    </w:t>
            </w:r>
          </w:p>
          <w:p w14:paraId="7AFDBD69" w14:textId="77777777" w:rsidR="00CF71F7" w:rsidRPr="002319D2" w:rsidRDefault="00CF71F7" w:rsidP="00CF71F7">
            <w:pPr>
              <w:spacing w:before="0" w:after="0"/>
              <w:jc w:val="left"/>
              <w:rPr>
                <w:rFonts w:eastAsia="Times New Roman" w:cstheme="minorHAnsi"/>
              </w:rPr>
            </w:pPr>
            <w:r w:rsidRPr="000E745A">
              <w:rPr>
                <w:rFonts w:cstheme="minorHAnsi"/>
                <w:color w:val="000000" w:themeColor="text1"/>
                <w:kern w:val="24"/>
              </w:rPr>
              <w:t xml:space="preserve">    sintēze)</w:t>
            </w:r>
          </w:p>
          <w:p w14:paraId="73585815" w14:textId="77777777" w:rsidR="00CF71F7" w:rsidRPr="002319D2" w:rsidRDefault="00CF71F7" w:rsidP="00CF71F7">
            <w:pPr>
              <w:spacing w:before="0" w:after="0"/>
              <w:jc w:val="left"/>
              <w:rPr>
                <w:rFonts w:ascii="Arial" w:eastAsia="Times New Roman" w:hAnsi="Arial" w:cs="Arial"/>
                <w:sz w:val="36"/>
                <w:szCs w:val="36"/>
              </w:rPr>
            </w:pPr>
            <w:r w:rsidRPr="000E745A">
              <w:rPr>
                <w:rFonts w:cstheme="minorHAnsi"/>
                <w:color w:val="000000" w:themeColor="text1"/>
                <w:kern w:val="24"/>
              </w:rPr>
              <w:t xml:space="preserve">8. SIA </w:t>
            </w:r>
            <w:r w:rsidRPr="002319D2">
              <w:rPr>
                <w:rFonts w:cstheme="minorHAnsi"/>
                <w:color w:val="000000" w:themeColor="text1"/>
                <w:kern w:val="24"/>
              </w:rPr>
              <w:t>Syntagon Baltic, (ķīmijas tehnoloģijas</w:t>
            </w:r>
            <w:r w:rsidRPr="002319D2">
              <w:rPr>
                <w:rFonts w:asciiTheme="majorHAnsi" w:hAnsi="Century Gothic"/>
                <w:color w:val="000000" w:themeColor="text1"/>
                <w:kern w:val="24"/>
                <w:sz w:val="28"/>
                <w:szCs w:val="28"/>
              </w:rPr>
              <w:t>)</w:t>
            </w:r>
          </w:p>
        </w:tc>
        <w:tc>
          <w:tcPr>
            <w:tcW w:w="467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1F38100C" w14:textId="77777777" w:rsidR="00CF71F7" w:rsidRPr="002319D2" w:rsidRDefault="00CF71F7" w:rsidP="00CF71F7">
            <w:pPr>
              <w:spacing w:before="0" w:after="0"/>
              <w:jc w:val="left"/>
              <w:rPr>
                <w:rFonts w:eastAsia="Times New Roman" w:cstheme="minorHAnsi"/>
              </w:rPr>
            </w:pPr>
            <w:r w:rsidRPr="000E745A">
              <w:rPr>
                <w:rFonts w:cstheme="minorHAnsi"/>
                <w:color w:val="000000" w:themeColor="text1"/>
                <w:kern w:val="24"/>
              </w:rPr>
              <w:t xml:space="preserve">1. </w:t>
            </w:r>
            <w:r w:rsidRPr="002319D2">
              <w:rPr>
                <w:rFonts w:cstheme="minorHAnsi"/>
                <w:color w:val="000000" w:themeColor="text1"/>
                <w:kern w:val="24"/>
              </w:rPr>
              <w:t xml:space="preserve">Idifarma Desarrollo Farmaceutico, Itālija </w:t>
            </w:r>
            <w:r w:rsidRPr="000E745A">
              <w:rPr>
                <w:rFonts w:cstheme="minorHAnsi"/>
                <w:color w:val="000000" w:themeColor="text1"/>
                <w:kern w:val="24"/>
              </w:rPr>
              <w:t xml:space="preserve"> </w:t>
            </w:r>
          </w:p>
          <w:p w14:paraId="44CC5DEC" w14:textId="77777777" w:rsidR="00CF71F7" w:rsidRPr="002319D2" w:rsidRDefault="00CF71F7" w:rsidP="00CF71F7">
            <w:pPr>
              <w:spacing w:before="0" w:after="0"/>
              <w:jc w:val="left"/>
              <w:rPr>
                <w:rFonts w:eastAsia="Times New Roman" w:cstheme="minorHAnsi"/>
              </w:rPr>
            </w:pPr>
            <w:r w:rsidRPr="000E745A">
              <w:rPr>
                <w:rFonts w:cstheme="minorHAnsi"/>
                <w:color w:val="000000" w:themeColor="text1"/>
                <w:kern w:val="24"/>
              </w:rPr>
              <w:t xml:space="preserve">     </w:t>
            </w:r>
            <w:r w:rsidRPr="002319D2">
              <w:rPr>
                <w:rFonts w:cstheme="minorHAnsi"/>
                <w:color w:val="000000" w:themeColor="text1"/>
                <w:kern w:val="24"/>
              </w:rPr>
              <w:t>(gatavo zāļu izstrādes tehnoloģijas)</w:t>
            </w:r>
          </w:p>
          <w:p w14:paraId="6F3BFE19" w14:textId="77777777" w:rsidR="00CF71F7" w:rsidRPr="002319D2" w:rsidRDefault="00CF71F7" w:rsidP="00CF71F7">
            <w:pPr>
              <w:spacing w:before="0" w:after="0"/>
              <w:jc w:val="left"/>
              <w:rPr>
                <w:rFonts w:eastAsia="Times New Roman" w:cstheme="minorHAnsi"/>
                <w:lang w:val="fr-FR"/>
              </w:rPr>
            </w:pPr>
            <w:r w:rsidRPr="000E745A">
              <w:rPr>
                <w:rFonts w:cstheme="minorHAnsi"/>
                <w:color w:val="000000" w:themeColor="text1"/>
                <w:kern w:val="24"/>
              </w:rPr>
              <w:t xml:space="preserve">2. </w:t>
            </w:r>
            <w:r w:rsidRPr="002319D2">
              <w:rPr>
                <w:rFonts w:cstheme="minorHAnsi"/>
                <w:color w:val="000000" w:themeColor="text1"/>
                <w:kern w:val="24"/>
                <w:lang w:val="fr-FR"/>
              </w:rPr>
              <w:t xml:space="preserve">Probiotech OU, Igaunija (bioekvivalences </w:t>
            </w:r>
          </w:p>
          <w:p w14:paraId="6B8FFD57" w14:textId="77777777" w:rsidR="00CF71F7" w:rsidRPr="002319D2" w:rsidRDefault="00CF71F7" w:rsidP="00CF71F7">
            <w:pPr>
              <w:spacing w:before="0" w:after="0"/>
              <w:jc w:val="left"/>
              <w:rPr>
                <w:rFonts w:eastAsia="Times New Roman" w:cstheme="minorHAnsi"/>
              </w:rPr>
            </w:pPr>
            <w:r w:rsidRPr="000E745A">
              <w:rPr>
                <w:rFonts w:cstheme="minorHAnsi"/>
                <w:color w:val="000000" w:themeColor="text1"/>
                <w:kern w:val="24"/>
              </w:rPr>
              <w:t xml:space="preserve">    </w:t>
            </w:r>
            <w:r w:rsidRPr="002319D2">
              <w:rPr>
                <w:rFonts w:cstheme="minorHAnsi"/>
                <w:color w:val="000000" w:themeColor="text1"/>
                <w:kern w:val="24"/>
              </w:rPr>
              <w:t>pētījumi)</w:t>
            </w:r>
          </w:p>
          <w:p w14:paraId="0DF6E0FA" w14:textId="77777777" w:rsidR="00CF71F7" w:rsidRPr="002319D2" w:rsidRDefault="00CF71F7" w:rsidP="00CF71F7">
            <w:pPr>
              <w:spacing w:before="0" w:after="0"/>
              <w:jc w:val="left"/>
              <w:rPr>
                <w:rFonts w:eastAsia="Times New Roman" w:cstheme="minorHAnsi"/>
              </w:rPr>
            </w:pPr>
            <w:r w:rsidRPr="000E745A">
              <w:rPr>
                <w:rFonts w:cstheme="minorHAnsi"/>
                <w:color w:val="000000" w:themeColor="text1"/>
                <w:kern w:val="24"/>
              </w:rPr>
              <w:t xml:space="preserve">3. </w:t>
            </w:r>
            <w:r w:rsidRPr="002319D2">
              <w:rPr>
                <w:rFonts w:cstheme="minorHAnsi"/>
                <w:color w:val="000000" w:themeColor="text1"/>
                <w:kern w:val="24"/>
              </w:rPr>
              <w:t>CEPHA, Čehija (bioekvivalences pētījumi)</w:t>
            </w:r>
          </w:p>
          <w:p w14:paraId="53219FBA" w14:textId="77777777" w:rsidR="00CF71F7" w:rsidRPr="000E745A" w:rsidRDefault="00CF71F7" w:rsidP="00CF71F7">
            <w:pPr>
              <w:spacing w:before="0" w:after="0"/>
              <w:jc w:val="left"/>
              <w:rPr>
                <w:rFonts w:eastAsia="Times New Roman" w:cstheme="minorHAnsi"/>
                <w:lang w:val="en-US"/>
              </w:rPr>
            </w:pPr>
            <w:r w:rsidRPr="000E745A">
              <w:rPr>
                <w:rFonts w:cstheme="minorHAnsi"/>
                <w:color w:val="000000" w:themeColor="text1"/>
                <w:kern w:val="24"/>
              </w:rPr>
              <w:t xml:space="preserve">4. </w:t>
            </w:r>
            <w:r w:rsidRPr="000E745A">
              <w:rPr>
                <w:rFonts w:cstheme="minorHAnsi"/>
                <w:color w:val="000000" w:themeColor="text1"/>
                <w:kern w:val="24"/>
                <w:lang w:val="en-US"/>
              </w:rPr>
              <w:t xml:space="preserve">LPT Laboratory of pharmacology, Vācija </w:t>
            </w:r>
          </w:p>
          <w:p w14:paraId="4BF9724B" w14:textId="77777777" w:rsidR="00CF71F7" w:rsidRPr="00CF71F7" w:rsidRDefault="00CF71F7" w:rsidP="00CF71F7">
            <w:pPr>
              <w:spacing w:before="0" w:after="0"/>
              <w:jc w:val="left"/>
              <w:rPr>
                <w:rFonts w:eastAsia="Times New Roman" w:cstheme="minorHAnsi"/>
              </w:rPr>
            </w:pPr>
            <w:r w:rsidRPr="000E745A">
              <w:rPr>
                <w:rFonts w:cstheme="minorHAnsi"/>
                <w:color w:val="000000" w:themeColor="text1"/>
                <w:kern w:val="24"/>
              </w:rPr>
              <w:t xml:space="preserve">    </w:t>
            </w:r>
            <w:r w:rsidRPr="00CF71F7">
              <w:rPr>
                <w:rFonts w:cstheme="minorHAnsi"/>
                <w:color w:val="000000" w:themeColor="text1"/>
                <w:kern w:val="24"/>
              </w:rPr>
              <w:t>(farmakoloģijas pētījumi)</w:t>
            </w:r>
          </w:p>
          <w:p w14:paraId="3BA28B47" w14:textId="77777777" w:rsidR="00CF71F7" w:rsidRPr="00CF71F7" w:rsidRDefault="00CF71F7" w:rsidP="00CF71F7">
            <w:pPr>
              <w:spacing w:before="0" w:after="0"/>
              <w:jc w:val="left"/>
              <w:rPr>
                <w:rFonts w:eastAsia="Times New Roman" w:cstheme="minorHAnsi"/>
              </w:rPr>
            </w:pPr>
            <w:r w:rsidRPr="000E745A">
              <w:rPr>
                <w:rFonts w:cstheme="minorHAnsi"/>
                <w:color w:val="000000" w:themeColor="text1"/>
                <w:kern w:val="24"/>
              </w:rPr>
              <w:t xml:space="preserve">5. </w:t>
            </w:r>
            <w:r w:rsidRPr="00CF71F7">
              <w:rPr>
                <w:rFonts w:cstheme="minorHAnsi"/>
                <w:color w:val="000000" w:themeColor="text1"/>
                <w:kern w:val="24"/>
              </w:rPr>
              <w:t>CEREP, Francija, (priekšklīniskie pētījumi)</w:t>
            </w:r>
          </w:p>
          <w:p w14:paraId="65C5E913" w14:textId="77777777" w:rsidR="00CF71F7" w:rsidRPr="002319D2" w:rsidRDefault="00CF71F7" w:rsidP="00CF71F7">
            <w:pPr>
              <w:spacing w:before="0" w:after="0"/>
              <w:jc w:val="left"/>
              <w:rPr>
                <w:rFonts w:eastAsia="Times New Roman" w:cstheme="minorHAnsi"/>
              </w:rPr>
            </w:pPr>
            <w:r w:rsidRPr="000E745A">
              <w:rPr>
                <w:rFonts w:cstheme="minorHAnsi"/>
                <w:color w:val="000000" w:themeColor="text1"/>
                <w:kern w:val="24"/>
              </w:rPr>
              <w:t xml:space="preserve">6. </w:t>
            </w:r>
            <w:r w:rsidRPr="002319D2">
              <w:rPr>
                <w:rFonts w:cstheme="minorHAnsi"/>
                <w:color w:val="000000" w:themeColor="text1"/>
                <w:kern w:val="24"/>
              </w:rPr>
              <w:t>Holodiag, Francija (kristalizācijas tehnoloģijas)</w:t>
            </w:r>
          </w:p>
          <w:p w14:paraId="748B6646" w14:textId="77777777" w:rsidR="00CF71F7" w:rsidRPr="002319D2" w:rsidRDefault="00CF71F7" w:rsidP="00CF71F7">
            <w:pPr>
              <w:spacing w:before="0" w:after="0"/>
              <w:jc w:val="left"/>
              <w:rPr>
                <w:rFonts w:eastAsia="Times New Roman" w:cstheme="minorHAnsi"/>
              </w:rPr>
            </w:pPr>
            <w:r w:rsidRPr="000E745A">
              <w:rPr>
                <w:rFonts w:cstheme="minorHAnsi"/>
                <w:color w:val="000000" w:themeColor="text1"/>
                <w:kern w:val="24"/>
              </w:rPr>
              <w:t xml:space="preserve">7. </w:t>
            </w:r>
            <w:r w:rsidRPr="002319D2">
              <w:rPr>
                <w:rFonts w:cstheme="minorHAnsi"/>
                <w:color w:val="000000" w:themeColor="text1"/>
                <w:kern w:val="24"/>
              </w:rPr>
              <w:t xml:space="preserve">LS Consult Ltd., Lietuva (gatavo zāļu izstrādes </w:t>
            </w:r>
            <w:r w:rsidRPr="000E745A">
              <w:rPr>
                <w:rFonts w:cstheme="minorHAnsi"/>
                <w:color w:val="000000" w:themeColor="text1"/>
                <w:kern w:val="24"/>
              </w:rPr>
              <w:t xml:space="preserve"> </w:t>
            </w:r>
          </w:p>
          <w:p w14:paraId="22DF8C9C" w14:textId="77777777" w:rsidR="00CF71F7" w:rsidRPr="002319D2" w:rsidRDefault="00CF71F7" w:rsidP="00CF71F7">
            <w:pPr>
              <w:spacing w:before="0" w:after="0"/>
              <w:jc w:val="left"/>
              <w:rPr>
                <w:rFonts w:eastAsia="Times New Roman" w:cstheme="minorHAnsi"/>
              </w:rPr>
            </w:pPr>
            <w:r w:rsidRPr="000E745A">
              <w:rPr>
                <w:rFonts w:cstheme="minorHAnsi"/>
                <w:color w:val="000000" w:themeColor="text1"/>
                <w:kern w:val="24"/>
              </w:rPr>
              <w:t xml:space="preserve">    </w:t>
            </w:r>
            <w:r w:rsidRPr="002319D2">
              <w:rPr>
                <w:rFonts w:cstheme="minorHAnsi"/>
                <w:color w:val="000000" w:themeColor="text1"/>
                <w:kern w:val="24"/>
              </w:rPr>
              <w:t>tehnoloģijas)</w:t>
            </w:r>
          </w:p>
          <w:p w14:paraId="7521F5D7" w14:textId="77777777" w:rsidR="00CF71F7" w:rsidRPr="002319D2" w:rsidRDefault="00CF71F7" w:rsidP="00CF71F7">
            <w:pPr>
              <w:spacing w:before="0" w:after="0"/>
              <w:jc w:val="left"/>
              <w:rPr>
                <w:rFonts w:eastAsia="Times New Roman" w:cstheme="minorHAnsi"/>
              </w:rPr>
            </w:pPr>
            <w:r w:rsidRPr="000E745A">
              <w:rPr>
                <w:rFonts w:cstheme="minorHAnsi"/>
                <w:color w:val="000000" w:themeColor="text1"/>
                <w:kern w:val="24"/>
              </w:rPr>
              <w:t xml:space="preserve">8. Accelera, Itālija </w:t>
            </w:r>
            <w:r w:rsidRPr="002319D2">
              <w:rPr>
                <w:rFonts w:cstheme="minorHAnsi"/>
                <w:color w:val="000000" w:themeColor="text1"/>
                <w:kern w:val="24"/>
              </w:rPr>
              <w:t>farmakoloģijas pētījumi)</w:t>
            </w:r>
          </w:p>
          <w:p w14:paraId="32E129A6" w14:textId="77777777" w:rsidR="00CF71F7" w:rsidRPr="002319D2" w:rsidRDefault="00CF71F7" w:rsidP="00CF71F7">
            <w:pPr>
              <w:spacing w:before="0" w:after="0"/>
              <w:jc w:val="left"/>
              <w:rPr>
                <w:rFonts w:eastAsia="Times New Roman" w:cstheme="minorHAnsi"/>
              </w:rPr>
            </w:pPr>
            <w:r w:rsidRPr="000E745A">
              <w:rPr>
                <w:rFonts w:eastAsia="Times New Roman" w:cstheme="minorHAnsi"/>
                <w:color w:val="000000" w:themeColor="text1"/>
                <w:kern w:val="24"/>
              </w:rPr>
              <w:t xml:space="preserve">9. </w:t>
            </w:r>
            <w:r w:rsidRPr="002319D2">
              <w:rPr>
                <w:rFonts w:cstheme="minorHAnsi"/>
                <w:color w:val="000000" w:themeColor="text1"/>
                <w:kern w:val="24"/>
              </w:rPr>
              <w:t>Syntagon</w:t>
            </w:r>
            <w:r w:rsidRPr="000E745A">
              <w:rPr>
                <w:rFonts w:cstheme="minorHAnsi"/>
                <w:color w:val="000000" w:themeColor="text1"/>
                <w:kern w:val="24"/>
              </w:rPr>
              <w:t xml:space="preserve"> AB, Zviedrija </w:t>
            </w:r>
            <w:r w:rsidRPr="002319D2">
              <w:rPr>
                <w:rFonts w:cstheme="minorHAnsi"/>
                <w:color w:val="000000" w:themeColor="text1"/>
                <w:kern w:val="24"/>
              </w:rPr>
              <w:t>(ķīmijas tehnoloģijas)</w:t>
            </w:r>
          </w:p>
          <w:p w14:paraId="0307988E" w14:textId="77777777" w:rsidR="00CF71F7" w:rsidRPr="002319D2" w:rsidRDefault="00CF71F7" w:rsidP="00CF71F7">
            <w:pPr>
              <w:spacing w:before="0" w:after="0"/>
              <w:jc w:val="left"/>
              <w:rPr>
                <w:rFonts w:eastAsia="Times New Roman" w:cstheme="minorHAnsi"/>
              </w:rPr>
            </w:pPr>
            <w:r w:rsidRPr="000E745A">
              <w:rPr>
                <w:rFonts w:eastAsia="Times New Roman" w:cstheme="minorHAnsi"/>
                <w:color w:val="000000" w:themeColor="text1"/>
                <w:kern w:val="24"/>
              </w:rPr>
              <w:t xml:space="preserve">10. </w:t>
            </w:r>
            <w:r w:rsidRPr="002319D2">
              <w:rPr>
                <w:rFonts w:cstheme="minorHAnsi"/>
                <w:color w:val="000000" w:themeColor="text1"/>
                <w:kern w:val="24"/>
              </w:rPr>
              <w:t>Galilaeus, Somija (biotehnoloģija)</w:t>
            </w:r>
          </w:p>
          <w:p w14:paraId="55742B7E" w14:textId="77777777" w:rsidR="00CF71F7" w:rsidRPr="002319D2" w:rsidRDefault="00CF71F7" w:rsidP="00CF71F7">
            <w:pPr>
              <w:spacing w:before="0" w:after="0"/>
              <w:jc w:val="left"/>
              <w:rPr>
                <w:rFonts w:eastAsia="Times New Roman" w:cstheme="minorHAnsi"/>
              </w:rPr>
            </w:pPr>
            <w:r w:rsidRPr="000E745A">
              <w:rPr>
                <w:rFonts w:cstheme="minorHAnsi"/>
                <w:color w:val="000000" w:themeColor="text1"/>
                <w:kern w:val="24"/>
              </w:rPr>
              <w:t xml:space="preserve">11. </w:t>
            </w:r>
            <w:r w:rsidRPr="002319D2">
              <w:rPr>
                <w:rFonts w:cstheme="minorHAnsi"/>
                <w:color w:val="000000" w:themeColor="text1"/>
                <w:kern w:val="24"/>
              </w:rPr>
              <w:t>KWS, Anglija (farmakoloģija)</w:t>
            </w:r>
          </w:p>
          <w:p w14:paraId="64B56B8C" w14:textId="77777777" w:rsidR="00CF71F7" w:rsidRPr="002319D2" w:rsidRDefault="00CF71F7" w:rsidP="00CF71F7">
            <w:pPr>
              <w:spacing w:before="0" w:after="0"/>
              <w:jc w:val="left"/>
              <w:rPr>
                <w:rFonts w:eastAsia="Times New Roman" w:cstheme="minorHAnsi"/>
              </w:rPr>
            </w:pPr>
            <w:r w:rsidRPr="000E745A">
              <w:rPr>
                <w:rFonts w:cstheme="minorHAnsi"/>
                <w:color w:val="000000" w:themeColor="text1"/>
                <w:kern w:val="24"/>
              </w:rPr>
              <w:t xml:space="preserve">12. </w:t>
            </w:r>
            <w:r w:rsidRPr="002319D2">
              <w:rPr>
                <w:rFonts w:cstheme="minorHAnsi"/>
                <w:color w:val="000000" w:themeColor="text1"/>
                <w:kern w:val="24"/>
              </w:rPr>
              <w:t>VUOS, Čehija (farmakoloģija)</w:t>
            </w:r>
          </w:p>
          <w:p w14:paraId="1EEBC47C" w14:textId="77777777" w:rsidR="00CF71F7" w:rsidRPr="002319D2" w:rsidRDefault="00CF71F7" w:rsidP="00CF71F7">
            <w:pPr>
              <w:spacing w:before="0" w:after="0"/>
              <w:jc w:val="left"/>
              <w:rPr>
                <w:rFonts w:cstheme="minorHAnsi"/>
                <w:color w:val="000000" w:themeColor="text1"/>
                <w:kern w:val="24"/>
              </w:rPr>
            </w:pPr>
            <w:r w:rsidRPr="002319D2">
              <w:rPr>
                <w:rFonts w:cstheme="minorHAnsi"/>
                <w:color w:val="000000" w:themeColor="text1"/>
                <w:kern w:val="24"/>
              </w:rPr>
              <w:t>13. BASF, Vācija (ķīmijas tehnoloģijas)</w:t>
            </w:r>
          </w:p>
          <w:p w14:paraId="55DD8EBB" w14:textId="77777777" w:rsidR="00CF71F7" w:rsidRPr="000E745A" w:rsidRDefault="00CF71F7" w:rsidP="00CF71F7">
            <w:pPr>
              <w:spacing w:before="0" w:after="0"/>
              <w:jc w:val="left"/>
              <w:rPr>
                <w:rFonts w:ascii="Arial" w:eastAsia="Times New Roman" w:hAnsi="Arial" w:cs="Arial"/>
                <w:sz w:val="36"/>
                <w:szCs w:val="36"/>
                <w:lang w:val="en-US"/>
              </w:rPr>
            </w:pPr>
            <w:r w:rsidRPr="00A75CDA">
              <w:rPr>
                <w:rFonts w:cstheme="minorHAnsi"/>
                <w:color w:val="000000" w:themeColor="text1"/>
                <w:kern w:val="24"/>
                <w:lang w:val="en-US"/>
              </w:rPr>
              <w:t>14. Shilpa, Indija (ķīmijas tehnoloģijas)</w:t>
            </w:r>
          </w:p>
        </w:tc>
      </w:tr>
    </w:tbl>
    <w:p w14:paraId="787AC383" w14:textId="77777777" w:rsidR="00CF71F7" w:rsidRDefault="00CF71F7" w:rsidP="00A75CDA">
      <w:pPr>
        <w:pStyle w:val="ListParagraph"/>
        <w:keepLines w:val="0"/>
        <w:numPr>
          <w:ilvl w:val="0"/>
          <w:numId w:val="0"/>
        </w:numPr>
        <w:shd w:val="clear" w:color="auto" w:fill="auto"/>
        <w:spacing w:before="0" w:after="200" w:line="276" w:lineRule="auto"/>
        <w:ind w:left="720"/>
        <w:jc w:val="left"/>
      </w:pPr>
    </w:p>
    <w:p w14:paraId="18AB7B7E" w14:textId="72BF4EB0" w:rsidR="00CF71F7" w:rsidRDefault="00CF71F7" w:rsidP="006F31C1">
      <w:pPr>
        <w:pStyle w:val="ListParagraph"/>
        <w:keepLines w:val="0"/>
        <w:numPr>
          <w:ilvl w:val="0"/>
          <w:numId w:val="21"/>
        </w:numPr>
        <w:shd w:val="clear" w:color="auto" w:fill="auto"/>
        <w:spacing w:before="0" w:after="200" w:line="276" w:lineRule="auto"/>
        <w:jc w:val="left"/>
      </w:pPr>
      <w:r>
        <w:lastRenderedPageBreak/>
        <w:t>PCCCL apvienoja farmācijas, uztura bagātinātāju</w:t>
      </w:r>
      <w:r w:rsidR="00B8515D">
        <w:t xml:space="preserve"> </w:t>
      </w:r>
      <w:r>
        <w:t xml:space="preserve">un kosmētikas nozares uzņēmumus radot iespējas informācijas apmaiņai starpnozaru kontekstā – piemēram, kosmētikas uzņēmumi aktīvāk sāka iedziļināties dažādu vielu īpašību pārbaudei </w:t>
      </w:r>
      <w:r w:rsidRPr="0007637B">
        <w:rPr>
          <w:i/>
        </w:rPr>
        <w:t>in vitro</w:t>
      </w:r>
      <w:r>
        <w:t xml:space="preserve"> šūnu kultūrās, kas vēsturiski ir farmaceitisko zāļu pārbaudes metodoloģija.</w:t>
      </w:r>
    </w:p>
    <w:p w14:paraId="05AD50D7" w14:textId="77777777" w:rsidR="00CF71F7" w:rsidRDefault="00CF71F7" w:rsidP="00CF71F7">
      <w:r>
        <w:t>PCCCL negatīvā pieredze:</w:t>
      </w:r>
    </w:p>
    <w:p w14:paraId="65030731" w14:textId="035DE694" w:rsidR="00CF71F7" w:rsidRDefault="00CF71F7" w:rsidP="006F31C1">
      <w:pPr>
        <w:pStyle w:val="ListParagraph"/>
        <w:keepLines w:val="0"/>
        <w:numPr>
          <w:ilvl w:val="0"/>
          <w:numId w:val="21"/>
        </w:numPr>
        <w:shd w:val="clear" w:color="auto" w:fill="auto"/>
        <w:spacing w:before="0" w:after="200" w:line="276" w:lineRule="auto"/>
        <w:jc w:val="left"/>
      </w:pPr>
      <w:r>
        <w:t>Projekta īstenošanas laikā, it īpaši 2011. un 2012. gad</w:t>
      </w:r>
      <w:r w:rsidR="00B8515D">
        <w:t xml:space="preserve">ā </w:t>
      </w:r>
      <w:r>
        <w:t xml:space="preserve">5 reizes tika modificēti KC programmas administrēšanas nosacījumi, kas būtiski sarežģīja tā īstenošanu un veicināja uzņēmēju neuzticības un piesardzības palielināšanos (īpaši tiem, kuri bija iesaistījušies ERAF projektos pirmo reizi). </w:t>
      </w:r>
    </w:p>
    <w:p w14:paraId="4037E0C1" w14:textId="5F2104B3" w:rsidR="00CF71F7" w:rsidRDefault="00CF71F7" w:rsidP="006F31C1">
      <w:pPr>
        <w:pStyle w:val="ListParagraph"/>
        <w:keepLines w:val="0"/>
        <w:numPr>
          <w:ilvl w:val="0"/>
          <w:numId w:val="21"/>
        </w:numPr>
        <w:shd w:val="clear" w:color="auto" w:fill="auto"/>
        <w:spacing w:before="0" w:after="200" w:line="276" w:lineRule="auto"/>
        <w:jc w:val="left"/>
      </w:pPr>
      <w:r>
        <w:t xml:space="preserve">Visa PCCCL darbības laikā bija ļoti ilga iesniegto atskaišu izskatīšana, līdz ar to </w:t>
      </w:r>
      <w:r w:rsidR="004E795D">
        <w:t>pieteiktais</w:t>
      </w:r>
      <w:r>
        <w:t xml:space="preserve"> ERAF finansējums tika saņemts 9-12 mēnešus pēc PCCCL ceturkšņa atskaišu iesniegšanas LIAA, tas būtiski apgrūtināja Kompetences centra darbu un privātā finansējuma piesaisti. Tā rezultātā plānoto 12,5 mEUR vietā PCCCL projekti tika realizēti par 10,8 mEUR.</w:t>
      </w:r>
    </w:p>
    <w:p w14:paraId="0F047337" w14:textId="60EE8079" w:rsidR="00B07C0D" w:rsidRDefault="00B07C0D" w:rsidP="00A912A1">
      <w:pPr>
        <w:pStyle w:val="Heading2"/>
      </w:pPr>
      <w:bookmarkStart w:id="114" w:name="_Toc113267436"/>
      <w:bookmarkStart w:id="115" w:name="_Toc119072242"/>
      <w:r w:rsidRPr="00F309B6">
        <w:t>Kompetences centra darbības pašnovērtējums Eiropas Savienības struktūrfondu un Kohēzijas fonda 2014.-2020.g. plānošanas perioda programmas ietvaros</w:t>
      </w:r>
      <w:bookmarkEnd w:id="114"/>
      <w:bookmarkEnd w:id="115"/>
    </w:p>
    <w:p w14:paraId="07641140" w14:textId="7870E74F" w:rsidR="00B9062E" w:rsidRPr="00B9062E" w:rsidRDefault="00B71CE7" w:rsidP="002319D2">
      <w:r>
        <w:t>Otrajā</w:t>
      </w:r>
      <w:r w:rsidR="00641878">
        <w:t xml:space="preserve"> kār</w:t>
      </w:r>
      <w:r>
        <w:t>tā</w:t>
      </w:r>
      <w:r w:rsidR="00641878">
        <w:t xml:space="preserve"> FBMTKC </w:t>
      </w:r>
      <w:r w:rsidR="00D00CC2">
        <w:t>pieredze ir bijusi pozitīva</w:t>
      </w:r>
      <w:r w:rsidR="00423F49">
        <w:t xml:space="preserve">. Kopumā iesaistīti tika 12 komersanti, kuri veica </w:t>
      </w:r>
      <w:r w:rsidR="00D6070C">
        <w:t>26 projektus, kas</w:t>
      </w:r>
      <w:r w:rsidR="001A0F22">
        <w:t xml:space="preserve"> rezultēj</w:t>
      </w:r>
      <w:r w:rsidR="00D6070C">
        <w:t>ās</w:t>
      </w:r>
      <w:r w:rsidR="001A0F22">
        <w:t xml:space="preserve"> ar </w:t>
      </w:r>
      <w:r w:rsidR="009377A0">
        <w:t>6</w:t>
      </w:r>
      <w:r w:rsidR="001A0F22">
        <w:t>1 jauna produkta</w:t>
      </w:r>
      <w:r w:rsidR="00D00CC2">
        <w:t xml:space="preserve"> </w:t>
      </w:r>
      <w:r w:rsidR="00963FC2">
        <w:t>izveidi un</w:t>
      </w:r>
      <w:r w:rsidR="009377A0">
        <w:t xml:space="preserve"> 25 tehnoloģiju attīstību</w:t>
      </w:r>
      <w:r w:rsidR="00D6070C">
        <w:t xml:space="preserve">. Turpretī </w:t>
      </w:r>
      <w:r w:rsidR="0047355B">
        <w:t>c</w:t>
      </w:r>
      <w:r w:rsidR="00D6070C">
        <w:t xml:space="preserve">eturtā kārta </w:t>
      </w:r>
      <w:r w:rsidR="008B75FF">
        <w:t xml:space="preserve">līdz 2020.gada vidum </w:t>
      </w:r>
      <w:r w:rsidR="0027729D">
        <w:t>rezultējās ar nodarbinātības pieaugumu par 53 darbiniekiem</w:t>
      </w:r>
      <w:r w:rsidR="00D00CC2">
        <w:t xml:space="preserve">. Centrs </w:t>
      </w:r>
      <w:r w:rsidR="00F24AB2">
        <w:t xml:space="preserve">kopā atbalstīja 12 komersantus un veica 30 </w:t>
      </w:r>
      <w:r w:rsidR="00A37421">
        <w:t>projektus, iesaistot</w:t>
      </w:r>
      <w:r w:rsidR="003D6540">
        <w:t xml:space="preserve"> vismaz piecos projektos zināšanu izplatīšanas organizācijas</w:t>
      </w:r>
      <w:r w:rsidR="00EB0C2F">
        <w:t>.</w:t>
      </w:r>
    </w:p>
    <w:p w14:paraId="3BF5FECA" w14:textId="77777777" w:rsidR="001F2157" w:rsidRPr="00C3045B" w:rsidRDefault="001F2157" w:rsidP="002319D2">
      <w:pPr>
        <w:pStyle w:val="Heading1"/>
      </w:pPr>
      <w:bookmarkStart w:id="116" w:name="_Toc529806203"/>
      <w:bookmarkStart w:id="117" w:name="_Toc530035114"/>
      <w:bookmarkStart w:id="118" w:name="_Toc530052600"/>
      <w:bookmarkStart w:id="119" w:name="_Toc119072243"/>
      <w:r w:rsidRPr="00C3045B">
        <w:lastRenderedPageBreak/>
        <w:t>Darbības sadarbības uzsākšanai ar līdzīgām organizācijām</w:t>
      </w:r>
      <w:bookmarkEnd w:id="116"/>
      <w:bookmarkEnd w:id="117"/>
      <w:bookmarkEnd w:id="118"/>
      <w:bookmarkEnd w:id="119"/>
    </w:p>
    <w:p w14:paraId="4A3EB8D8" w14:textId="6846FC1A" w:rsidR="00757949" w:rsidRDefault="00757949" w:rsidP="00757949">
      <w:r w:rsidRPr="00B93059">
        <w:t xml:space="preserve">Kompetences centrs ir izveidojis pētniecības projektu atlases padomi, kuras dalībnieki pārstāv faktiski visas </w:t>
      </w:r>
      <w:r w:rsidR="00001E57">
        <w:t xml:space="preserve">vadošās </w:t>
      </w:r>
      <w:r w:rsidRPr="00B93059">
        <w:t>nozares zinātniskās organizācijas Latvijā</w:t>
      </w:r>
      <w:r w:rsidR="00001E57">
        <w:t>: Latvijas Organiskās sintēzes institūts, Latvijas Biomedicīnas pētījumu un studiju centrs, Rīgas tehniskā universitāte, Latvijas universitāte, kā arī</w:t>
      </w:r>
      <w:r>
        <w:t xml:space="preserve"> lielākos </w:t>
      </w:r>
      <w:r w:rsidR="00001E57">
        <w:t xml:space="preserve">un eksportspējīgākos </w:t>
      </w:r>
      <w:r w:rsidR="00571B76">
        <w:t>nozares uzņēmumus</w:t>
      </w:r>
      <w:r w:rsidRPr="00B93059">
        <w:t xml:space="preserve">. </w:t>
      </w:r>
      <w:r w:rsidR="00A67EB0">
        <w:t>Pētniecības</w:t>
      </w:r>
      <w:r w:rsidRPr="00B93059">
        <w:t xml:space="preserve"> projektu atlases padomē </w:t>
      </w:r>
      <w:r w:rsidR="00A67EB0">
        <w:t xml:space="preserve">ir piesaistīts Juris Vanags, kas darbojas </w:t>
      </w:r>
      <w:r w:rsidRPr="00B93059">
        <w:t xml:space="preserve">arī citos kompetences centros, kas būtiski paplašina </w:t>
      </w:r>
      <w:r w:rsidR="003B4C50">
        <w:t>FBMTKC</w:t>
      </w:r>
      <w:r w:rsidRPr="00B93059">
        <w:t xml:space="preserve"> sadarbības uzsākšanas iespējas ar līdzīgām organizācijām. </w:t>
      </w:r>
    </w:p>
    <w:p w14:paraId="673C6CA3" w14:textId="2940F198" w:rsidR="001F2157" w:rsidRPr="007B4A2E" w:rsidRDefault="00AE7D1C" w:rsidP="001F2157">
      <w:r>
        <w:t>FBTMKC</w:t>
      </w:r>
      <w:r w:rsidR="001F2157" w:rsidRPr="007B4A2E">
        <w:t xml:space="preserve"> </w:t>
      </w:r>
      <w:r w:rsidR="0059105D">
        <w:t>ir un tiek paredzēta arī turpmāka sadarbība</w:t>
      </w:r>
      <w:r w:rsidR="001F2157" w:rsidRPr="007B4A2E">
        <w:t xml:space="preserve"> ar līdzīgām organizācijām tādām kā nozarei aktuālie klasteri (piem</w:t>
      </w:r>
      <w:r w:rsidR="001F2157">
        <w:t xml:space="preserve">ēram, </w:t>
      </w:r>
      <w:r w:rsidR="00065438">
        <w:t xml:space="preserve">Latvijas dzīvības zinātņu nozares </w:t>
      </w:r>
      <w:r w:rsidR="001F2157" w:rsidRPr="00B1230F">
        <w:t>klasteris</w:t>
      </w:r>
      <w:r w:rsidR="001F2157" w:rsidRPr="007B4A2E">
        <w:t>), klasteru apvienības, nozaru asociācijas</w:t>
      </w:r>
      <w:r w:rsidR="001F2157">
        <w:t xml:space="preserve"> (piemēram, </w:t>
      </w:r>
      <w:r w:rsidR="005D47A0">
        <w:rPr>
          <w:rFonts w:ascii="Arial" w:hAnsi="Arial" w:cs="Arial"/>
          <w:color w:val="1E1E1E"/>
        </w:rPr>
        <w:t> </w:t>
      </w:r>
      <w:r w:rsidR="005D47A0" w:rsidRPr="005D47A0">
        <w:t>Latvijas ķīmijas un farmācijas uzņēmumu asociācijas</w:t>
      </w:r>
      <w:r w:rsidR="005D47A0">
        <w:t xml:space="preserve"> LAĶĪFA, </w:t>
      </w:r>
      <w:r w:rsidR="00065438" w:rsidRPr="00065438">
        <w:t>Latvijas Patentbrīvo medikamentu asociācija</w:t>
      </w:r>
      <w:r w:rsidR="00065438" w:rsidRPr="005D47A0">
        <w:t xml:space="preserve">, </w:t>
      </w:r>
      <w:r w:rsidR="00065438" w:rsidRPr="00065438">
        <w:t>Starptautisko inovatīvo farmaceitisko firmu asociācija</w:t>
      </w:r>
      <w:r w:rsidR="00065438">
        <w:t>, ārstu biedrības</w:t>
      </w:r>
      <w:r w:rsidR="00065438" w:rsidRPr="00065438">
        <w:t xml:space="preserve"> </w:t>
      </w:r>
      <w:r w:rsidR="001F2157" w:rsidRPr="00065438">
        <w:t>u. tml.</w:t>
      </w:r>
      <w:r w:rsidR="001F2157">
        <w:t>)</w:t>
      </w:r>
      <w:r w:rsidR="001F2157" w:rsidRPr="007B4A2E">
        <w:t xml:space="preserve"> un cit</w:t>
      </w:r>
      <w:r w:rsidR="001F2157">
        <w:t>ām</w:t>
      </w:r>
      <w:r w:rsidR="001F2157" w:rsidRPr="007B4A2E">
        <w:t xml:space="preserve"> jomas attīstības tendences </w:t>
      </w:r>
      <w:r w:rsidR="001F2157" w:rsidRPr="00090D27">
        <w:t>ietekmējošām organizācijā</w:t>
      </w:r>
      <w:r w:rsidR="00065438">
        <w:t>m (piemēram</w:t>
      </w:r>
      <w:r w:rsidR="005D47A0" w:rsidRPr="005D47A0">
        <w:t>Farmācijas un biomedicīnas VNPC</w:t>
      </w:r>
      <w:r w:rsidR="00065438" w:rsidRPr="00065438">
        <w:t xml:space="preserve"> u.c.)</w:t>
      </w:r>
      <w:r w:rsidR="00065438">
        <w:t xml:space="preserve"> </w:t>
      </w:r>
      <w:r w:rsidR="001F2157" w:rsidRPr="00090D27">
        <w:t>; kā arī veiks šādu organizāciju un starpnozaru sadarbības iespēju regulāru apzināšanu</w:t>
      </w:r>
      <w:r w:rsidR="00065438">
        <w:t xml:space="preserve">. </w:t>
      </w:r>
    </w:p>
    <w:p w14:paraId="35B75121" w14:textId="6F410D96" w:rsidR="00001E57" w:rsidRDefault="001F2157" w:rsidP="001F2157">
      <w:r w:rsidRPr="007B4A2E">
        <w:t>Sadarbības paplašināšana ir paredzēta gan Latvijā, gan starptautiskā mērogā.</w:t>
      </w:r>
    </w:p>
    <w:p w14:paraId="2DB33545" w14:textId="74082AC9" w:rsidR="00AB0A6D" w:rsidRDefault="00AB0A6D" w:rsidP="001F2157">
      <w:r>
        <w:t>Starptautiskajā mērogāir plānoti sekojoši galvenie pētniecisko un inovāciju sadarbību veicinošie  virzieni:</w:t>
      </w:r>
    </w:p>
    <w:p w14:paraId="785E5442" w14:textId="174B08EA" w:rsidR="00AB0A6D" w:rsidRDefault="00AB0A6D" w:rsidP="006F31C1">
      <w:pPr>
        <w:pStyle w:val="ListParagraph"/>
        <w:numPr>
          <w:ilvl w:val="0"/>
          <w:numId w:val="44"/>
        </w:numPr>
      </w:pPr>
      <w:r>
        <w:t>Piedalīš</w:t>
      </w:r>
      <w:r w:rsidR="00A534C4">
        <w:t>a</w:t>
      </w:r>
      <w:r>
        <w:t xml:space="preserve">nās </w:t>
      </w:r>
      <w:r w:rsidR="00A534C4">
        <w:t>programmā IPCEI-Health (Importan</w:t>
      </w:r>
      <w:r w:rsidR="00A25FD2">
        <w:t>t</w:t>
      </w:r>
      <w:r w:rsidR="00A534C4">
        <w:t xml:space="preserve"> Projects of Common European Interest)</w:t>
      </w:r>
      <w:r w:rsidR="00F23468">
        <w:t>, kurā tiks veicināti 3-4 ĒS valstu komercuzņēmumu pētnieciskā sadarbība sekojošās Eiropas Veselības aizsardzības sistēmas vājo jomu stiprināšanai:</w:t>
      </w:r>
    </w:p>
    <w:p w14:paraId="34A1AD62" w14:textId="2B55E406" w:rsidR="00F23468" w:rsidRDefault="00F23468" w:rsidP="006F31C1">
      <w:pPr>
        <w:pStyle w:val="ListParagraph"/>
        <w:numPr>
          <w:ilvl w:val="1"/>
          <w:numId w:val="21"/>
        </w:numPr>
      </w:pPr>
      <w:r>
        <w:t>Aktīvo farmaceitisko vielu un gatavo zāļu formu ražošanas tehnoloģiju “zaļināšana” un inovācijas</w:t>
      </w:r>
    </w:p>
    <w:p w14:paraId="1919948C" w14:textId="2CB404BB" w:rsidR="00F23468" w:rsidRDefault="00F23468" w:rsidP="006F31C1">
      <w:pPr>
        <w:pStyle w:val="ListParagraph"/>
        <w:numPr>
          <w:ilvl w:val="1"/>
          <w:numId w:val="21"/>
        </w:numPr>
      </w:pPr>
      <w:r>
        <w:t>Reto slimību zāles (angl. orphan drugs) un antimikrobiālās rezistences zāles</w:t>
      </w:r>
    </w:p>
    <w:p w14:paraId="11263534" w14:textId="7D657560" w:rsidR="00F23468" w:rsidRDefault="00F23468" w:rsidP="006F31C1">
      <w:pPr>
        <w:pStyle w:val="ListParagraph"/>
        <w:numPr>
          <w:ilvl w:val="1"/>
          <w:numId w:val="21"/>
        </w:numPr>
      </w:pPr>
      <w:r>
        <w:t>Šūnu un gēnu terapijas, ieskaitot ražošanas tehnoloģijas.</w:t>
      </w:r>
    </w:p>
    <w:p w14:paraId="3854DE75" w14:textId="62191D5E" w:rsidR="00F23468" w:rsidRDefault="00F23468" w:rsidP="006F31C1">
      <w:pPr>
        <w:pStyle w:val="ListParagraph"/>
        <w:numPr>
          <w:ilvl w:val="0"/>
          <w:numId w:val="44"/>
        </w:numPr>
      </w:pPr>
      <w:r>
        <w:t>KC sadarbības partneru un projektu veicēju iepaz</w:t>
      </w:r>
      <w:r w:rsidR="00F74954">
        <w:t>īs</w:t>
      </w:r>
      <w:r>
        <w:t>tinā</w:t>
      </w:r>
      <w:r w:rsidR="00F74954">
        <w:t>š</w:t>
      </w:r>
      <w:r>
        <w:t xml:space="preserve">ana ar </w:t>
      </w:r>
      <w:r w:rsidR="00F74954">
        <w:t>Baltic Biomaterials Centre of Excelence</w:t>
      </w:r>
      <w:r w:rsidR="00427873">
        <w:t xml:space="preserve"> </w:t>
      </w:r>
      <w:r w:rsidR="00F74954" w:rsidRPr="002319D2">
        <w:rPr>
          <w:rFonts w:asciiTheme="majorHAnsi" w:hAnsiTheme="majorHAnsi" w:cstheme="majorHAnsi"/>
        </w:rPr>
        <w:t xml:space="preserve">( </w:t>
      </w:r>
      <w:hyperlink r:id="rId64" w:history="1">
        <w:r w:rsidR="00F74954" w:rsidRPr="002319D2">
          <w:rPr>
            <w:rStyle w:val="Hyperlink"/>
            <w:rFonts w:asciiTheme="majorHAnsi" w:hAnsiTheme="majorHAnsi" w:cstheme="majorHAnsi"/>
          </w:rPr>
          <w:t>http://bbcentre.eu</w:t>
        </w:r>
      </w:hyperlink>
      <w:r w:rsidR="00F74954" w:rsidRPr="002319D2">
        <w:rPr>
          <w:rFonts w:asciiTheme="majorHAnsi" w:hAnsiTheme="majorHAnsi" w:cstheme="majorHAnsi"/>
          <w:color w:val="626262"/>
        </w:rPr>
        <w:t>) kapacitātēm un pētījumu virzien</w:t>
      </w:r>
      <w:r w:rsidR="00427873" w:rsidRPr="002319D2">
        <w:rPr>
          <w:rFonts w:asciiTheme="majorHAnsi" w:hAnsiTheme="majorHAnsi" w:cstheme="majorHAnsi"/>
          <w:color w:val="626262"/>
        </w:rPr>
        <w:t>iem</w:t>
      </w:r>
      <w:r w:rsidR="00F74954">
        <w:t>, ar mērķi iniciēt zāļu ilgstošas piegādes  jeb depo formulāciju izstrādes projektus</w:t>
      </w:r>
      <w:r w:rsidR="00427873">
        <w:t xml:space="preserve"> Latvijas farmācijas uzņēmumos</w:t>
      </w:r>
      <w:r w:rsidR="00F74954">
        <w:t>, balstoties uz BBCE zinātnieku pieredzi biomateriālu pielietošanā.</w:t>
      </w:r>
    </w:p>
    <w:p w14:paraId="524FB676" w14:textId="579D9FFF" w:rsidR="003E1DCF" w:rsidRPr="002319D2" w:rsidRDefault="00F74954" w:rsidP="006F31C1">
      <w:pPr>
        <w:pStyle w:val="ListParagraph"/>
        <w:numPr>
          <w:ilvl w:val="0"/>
          <w:numId w:val="44"/>
        </w:numPr>
      </w:pPr>
      <w:r>
        <w:t>KC sadarbības partneru un projektu veicēju iepazīstināšana ar topošo Biopharmaceuticals Research Centre (saīsināti BioReCen</w:t>
      </w:r>
      <w:r w:rsidR="00427873">
        <w:t xml:space="preserve">t) projektu, ar mērķi iniciēt biofarmaceitisko zāļu izstrādes projektus Latvijas farmācijas uzņēmumos sadarbībā ar OSI un BMC, kas ir </w:t>
      </w:r>
      <w:r w:rsidR="003E1DCF">
        <w:t>BioReCent iniciatori. Pirmās tēmas varētu būt m</w:t>
      </w:r>
      <w:r w:rsidR="003E1DCF" w:rsidRPr="003E1DCF">
        <w:t>edicīnā izmantojami proteīni, kas tiek iegūti no dzīvām bioloģiskām sistēmām (mikroorganismiem, šūnām, dzīvniekiem vai augiem) ar biotehnoloģijas metožu («gēnu inženierijas» vai hibridomu tehnoloģijas) palīdzību</w:t>
      </w:r>
      <w:r w:rsidR="003E1DCF">
        <w:t>.</w:t>
      </w:r>
    </w:p>
    <w:p w14:paraId="35C71040" w14:textId="57179FBD" w:rsidR="00F74954" w:rsidRDefault="00F74954" w:rsidP="002319D2">
      <w:pPr>
        <w:pStyle w:val="ListParagraph"/>
        <w:numPr>
          <w:ilvl w:val="0"/>
          <w:numId w:val="0"/>
        </w:numPr>
        <w:ind w:left="1080"/>
      </w:pPr>
    </w:p>
    <w:p w14:paraId="42BD0ECE" w14:textId="60D15A72" w:rsidR="001F2157" w:rsidRDefault="00AE7D1C" w:rsidP="001F2157">
      <w:r>
        <w:t>FBTMKC</w:t>
      </w:r>
      <w:r w:rsidR="001F2157" w:rsidRPr="007B4A2E">
        <w:t xml:space="preserve"> aktuālā informācija tiks regulāri publicēta mājaslapā</w:t>
      </w:r>
      <w:r w:rsidR="001F2157">
        <w:t xml:space="preserve"> un komunicēta dalībniekiem kompetences centra </w:t>
      </w:r>
      <w:r w:rsidR="00001E57">
        <w:t xml:space="preserve">PAP </w:t>
      </w:r>
      <w:r w:rsidR="001F2157">
        <w:t>sanāksmju laikā.</w:t>
      </w:r>
    </w:p>
    <w:p w14:paraId="240DA8B5" w14:textId="3B636393" w:rsidR="00602DE2" w:rsidRDefault="001F2157" w:rsidP="001F2157">
      <w:r>
        <w:t xml:space="preserve">Dalība </w:t>
      </w:r>
      <w:bookmarkStart w:id="120" w:name="_Hlk530050979"/>
      <w:r>
        <w:t xml:space="preserve">(t.sk. organizatoriskā darbība) </w:t>
      </w:r>
      <w:bookmarkEnd w:id="120"/>
      <w:r>
        <w:t xml:space="preserve">nozarei aktuālos vietēja līmeņa pasākumos kā nozares asociāciju, </w:t>
      </w:r>
      <w:bookmarkStart w:id="121" w:name="_Hlk530050396"/>
      <w:r>
        <w:t xml:space="preserve">Ekonomikas ministrijas, LTRK, nozares uzņēmumu un augstākās izglītības iestāžu organizētajos </w:t>
      </w:r>
      <w:bookmarkEnd w:id="121"/>
      <w:r>
        <w:t xml:space="preserve">vietējas un starptautiskas nozīmes pasākumos, piemēram, </w:t>
      </w:r>
      <w:r w:rsidR="005D47A0">
        <w:t xml:space="preserve">LAĶĪFA organizētās konferences, RSU medicīnas nozares </w:t>
      </w:r>
      <w:r>
        <w:t xml:space="preserve">ikgadējās </w:t>
      </w:r>
      <w:r w:rsidRPr="00BC2B1B">
        <w:t>konference</w:t>
      </w:r>
      <w:r>
        <w:t>s u.tml.</w:t>
      </w:r>
      <w:r w:rsidRPr="00BC2B1B">
        <w:t>)</w:t>
      </w:r>
      <w:r>
        <w:t>. Dalība starptautiskās nozīmes jomas pasākumos</w:t>
      </w:r>
      <w:r w:rsidR="000048ED">
        <w:t xml:space="preserve"> (</w:t>
      </w:r>
      <w:r w:rsidR="000C56E8">
        <w:t>piemēram</w:t>
      </w:r>
    </w:p>
    <w:p w14:paraId="69EDC1C9" w14:textId="1CEBFB1F" w:rsidR="001F2157" w:rsidRDefault="000048ED" w:rsidP="001F2157">
      <w:r>
        <w:lastRenderedPageBreak/>
        <w:t>, CP</w:t>
      </w:r>
      <w:r w:rsidR="002C18F3">
        <w:t>h</w:t>
      </w:r>
      <w:r>
        <w:t>I konference Eiropā</w:t>
      </w:r>
      <w:r w:rsidR="002C18F3">
        <w:t>/</w:t>
      </w:r>
      <w:r>
        <w:t>Āzijā, Achema iekārtu konfernece Vācijā, Interpack</w:t>
      </w:r>
      <w:r w:rsidR="002C18F3">
        <w:t xml:space="preserve"> u.c.)</w:t>
      </w:r>
      <w:r w:rsidR="005D47A0">
        <w:t>,</w:t>
      </w:r>
      <w:r w:rsidR="001F2157">
        <w:t xml:space="preserve"> </w:t>
      </w:r>
      <w:r w:rsidR="005D47A0">
        <w:t xml:space="preserve">t.sk. </w:t>
      </w:r>
      <w:r w:rsidR="001F2157">
        <w:t xml:space="preserve">pasākumi </w:t>
      </w:r>
      <w:r w:rsidR="005D47A0">
        <w:t xml:space="preserve">citu </w:t>
      </w:r>
      <w:r w:rsidR="001F2157">
        <w:t xml:space="preserve">ES fondu aktivitāšu un programmu ietvaros. Tiks veicināta dalība arī starpnozaru pasākumos, īpaši saistībā ar tehnoloģiju efektīvāku lietošanu (līdzīgas kā bija 2017./2018. gadā INTER-COMP-INNO utt.). Tāpat sadarbības partneri saņems informatīvo atbalstu par paredzamām starptautiskām izstādēm un to apmeklēšanas iespējām, kas veicinātu jaunas starptautiskas sadarbības un zināšanu pārneses iespējas. </w:t>
      </w:r>
    </w:p>
    <w:p w14:paraId="6668A0CB" w14:textId="0C886303" w:rsidR="00FE1976" w:rsidRDefault="001F2157" w:rsidP="005D47A0">
      <w:r>
        <w:t>Tiks paplašināta starpnozaru sadarbība, padziļinot kontaktus ar aktuālo nozaru asociācijām IT jomas klasteri un IKT jomas asociācijām, Viedo materiālu kompetences centru</w:t>
      </w:r>
      <w:r w:rsidR="005D47A0">
        <w:t xml:space="preserve"> u.c</w:t>
      </w:r>
      <w:r>
        <w:t xml:space="preserve">. Tiks stiprināta </w:t>
      </w:r>
      <w:r w:rsidR="005D47A0">
        <w:t xml:space="preserve">un padziļināta </w:t>
      </w:r>
      <w:r>
        <w:t xml:space="preserve">sadarbība ar zinātniskajām institūcijām, kas specializējas daudzveidīgās Zināšanu ietilpīgas bioekonomikas jomās, biotehnoloģijās un ķīmiskajā apstrādē (t.sk. </w:t>
      </w:r>
      <w:r w:rsidR="005D47A0">
        <w:t xml:space="preserve">OSI, KĶI, </w:t>
      </w:r>
      <w:r w:rsidR="005D47A0" w:rsidRPr="005D47A0">
        <w:t>Inovatīvo biomedicīnas tehnoloģiju institūts</w:t>
      </w:r>
      <w:r w:rsidR="005D47A0">
        <w:t xml:space="preserve"> </w:t>
      </w:r>
      <w:r>
        <w:t xml:space="preserve">u. tml.). </w:t>
      </w:r>
    </w:p>
    <w:p w14:paraId="621FA38A" w14:textId="0B14385C" w:rsidR="00C4175D" w:rsidRDefault="00C4175D" w:rsidP="005D47A0">
      <w:r>
        <w:t xml:space="preserve">FBMTKC dalība 2019- 2021 pasākumos, KC programmas 4.kārtas ietvaros: </w:t>
      </w:r>
    </w:p>
    <w:p w14:paraId="21C2CC95" w14:textId="0F8D4D9A" w:rsidR="00602DE2" w:rsidRPr="003438EE" w:rsidRDefault="00602DE2" w:rsidP="006F31C1">
      <w:pPr>
        <w:pStyle w:val="Default"/>
        <w:numPr>
          <w:ilvl w:val="1"/>
          <w:numId w:val="31"/>
        </w:numPr>
        <w:rPr>
          <w:rFonts w:asciiTheme="minorHAnsi" w:hAnsiTheme="minorHAnsi" w:cstheme="minorHAnsi"/>
          <w:sz w:val="20"/>
          <w:szCs w:val="20"/>
        </w:rPr>
      </w:pPr>
      <w:r w:rsidRPr="003438EE">
        <w:rPr>
          <w:rFonts w:asciiTheme="minorHAnsi" w:hAnsiTheme="minorHAnsi" w:cstheme="minorHAnsi"/>
          <w:sz w:val="20"/>
          <w:szCs w:val="20"/>
        </w:rPr>
        <w:t>KC piedalījās starptautiskā konferencē “ FF314: Kompetences centri: Inovācijas izaugsmei un eksportam” 2021. gada 25 febrārī. Kopumā konferenci attālināti apmeklēja 66’051 interesents, tai skaitā EK pārstāvji no Briseles.</w:t>
      </w:r>
    </w:p>
    <w:p w14:paraId="3AE6D1A8" w14:textId="1391E957" w:rsidR="00BE1823" w:rsidRPr="003438EE" w:rsidRDefault="00BE1823" w:rsidP="006F31C1">
      <w:pPr>
        <w:pStyle w:val="Default"/>
        <w:numPr>
          <w:ilvl w:val="1"/>
          <w:numId w:val="31"/>
        </w:numPr>
        <w:rPr>
          <w:rFonts w:asciiTheme="minorHAnsi" w:hAnsiTheme="minorHAnsi" w:cstheme="minorHAnsi"/>
          <w:sz w:val="20"/>
          <w:szCs w:val="20"/>
        </w:rPr>
      </w:pPr>
      <w:r w:rsidRPr="003438EE">
        <w:rPr>
          <w:rFonts w:asciiTheme="minorHAnsi" w:hAnsiTheme="minorHAnsi" w:cstheme="minorHAnsi"/>
          <w:sz w:val="20"/>
          <w:szCs w:val="20"/>
        </w:rPr>
        <w:t>Farmācijas uzņēmumi, kas realizē savus jauno produktu, zāļu un tehnoloģiju izstrādes projektus ar KC atbalstu 2019., 2020. un 2021. gados informāciju par to sniedza starptautiskajās farmācijas nozares izstādēs Conference Pharmaceutical International Europe (CPhI EU) un Conference Pharmaceutical International South East Asisa (CPhI SEA).</w:t>
      </w:r>
    </w:p>
    <w:p w14:paraId="6729EA42" w14:textId="76D1AB00" w:rsidR="00BE1823" w:rsidRPr="003438EE" w:rsidRDefault="00BE1823" w:rsidP="006F31C1">
      <w:pPr>
        <w:pStyle w:val="Default"/>
        <w:numPr>
          <w:ilvl w:val="1"/>
          <w:numId w:val="31"/>
        </w:numPr>
        <w:rPr>
          <w:rFonts w:asciiTheme="minorHAnsi" w:hAnsiTheme="minorHAnsi" w:cstheme="minorHAnsi"/>
          <w:sz w:val="20"/>
          <w:szCs w:val="20"/>
        </w:rPr>
      </w:pPr>
      <w:r w:rsidRPr="003438EE">
        <w:rPr>
          <w:rFonts w:asciiTheme="minorHAnsi" w:hAnsiTheme="minorHAnsi" w:cstheme="minorHAnsi"/>
          <w:sz w:val="20"/>
          <w:szCs w:val="20"/>
        </w:rPr>
        <w:t>Farmācijas uzņēmumi, kas realizē savus jauno produktu, zāļu un tehnoloģiju izstrādes projektus ar KC atbalstu 2019., 2020. un 2021. gados informāciju par to sniedza starptautiskajās farmācijas nozares izstādēs Arab Health.</w:t>
      </w:r>
    </w:p>
    <w:p w14:paraId="649A2665" w14:textId="1E8B0D5D" w:rsidR="005F586C" w:rsidRPr="003438EE" w:rsidRDefault="005F586C" w:rsidP="006F31C1">
      <w:pPr>
        <w:pStyle w:val="Default"/>
        <w:numPr>
          <w:ilvl w:val="1"/>
          <w:numId w:val="31"/>
        </w:numPr>
        <w:rPr>
          <w:rFonts w:asciiTheme="minorHAnsi" w:hAnsiTheme="minorHAnsi" w:cstheme="minorHAnsi"/>
          <w:sz w:val="20"/>
          <w:szCs w:val="20"/>
        </w:rPr>
      </w:pPr>
      <w:r w:rsidRPr="003438EE">
        <w:rPr>
          <w:rFonts w:asciiTheme="minorHAnsi" w:hAnsiTheme="minorHAnsi" w:cstheme="minorHAnsi"/>
          <w:sz w:val="20"/>
          <w:szCs w:val="20"/>
        </w:rPr>
        <w:t xml:space="preserve">Farmācijas KC vadītājs 2022. Gada martā piedalījās LIAA organizētajā ekonomiskajā misijā uz Bostonu, ASV, un Toronto, Kanādu “Biomedicine, medical technologies biopharmacy and </w:t>
      </w:r>
      <w:r w:rsidRPr="003438EE">
        <w:rPr>
          <w:rFonts w:asciiTheme="minorHAnsi" w:hAnsiTheme="minorHAnsi" w:cstheme="minorHAnsi"/>
          <w:sz w:val="20"/>
          <w:szCs w:val="20"/>
          <w:lang w:val="lv-LV"/>
        </w:rPr>
        <w:t>biotechnologies</w:t>
      </w:r>
      <w:r w:rsidRPr="003438EE">
        <w:rPr>
          <w:rFonts w:asciiTheme="minorHAnsi" w:hAnsiTheme="minorHAnsi" w:cstheme="minorHAnsi"/>
          <w:sz w:val="20"/>
          <w:szCs w:val="20"/>
        </w:rPr>
        <w:t xml:space="preserve"> in Latvia”. Kuras laikā KC sasniegumi un pētījumu virzieni tika prezentēti Takeda Pharmaceuticals Inc. un Toronto Universitātes Inovation Hub speciālistiem.</w:t>
      </w:r>
    </w:p>
    <w:p w14:paraId="3236AB9E" w14:textId="77777777" w:rsidR="00C4175D" w:rsidRPr="003438EE" w:rsidRDefault="00C4175D" w:rsidP="005D47A0">
      <w:pPr>
        <w:rPr>
          <w:rFonts w:cstheme="minorHAnsi"/>
        </w:rPr>
      </w:pPr>
    </w:p>
    <w:p w14:paraId="2275E2E1" w14:textId="77777777" w:rsidR="004721F5" w:rsidRPr="004721F5" w:rsidRDefault="00213692" w:rsidP="004721F5">
      <w:r w:rsidRPr="004721F5">
        <w:t xml:space="preserve">Kompetences centrs paredzēs vismaz vienu organizētu konferenci </w:t>
      </w:r>
      <w:r w:rsidR="00C05453" w:rsidRPr="004721F5">
        <w:t>laika posmā 2023.-2024. gads,</w:t>
      </w:r>
      <w:r w:rsidRPr="004721F5">
        <w:t xml:space="preserve"> lai nodrošinātu sadarbību ar līdzīgām organizācijām </w:t>
      </w:r>
      <w:r w:rsidR="00AB0A6D" w:rsidRPr="004721F5">
        <w:t xml:space="preserve">Latvijā un eksponētu veiktos pētījumus un izstrādātās tehnoloģijas un produktus starptautiski. </w:t>
      </w:r>
      <w:bookmarkStart w:id="122" w:name="_Toc529806204"/>
      <w:bookmarkStart w:id="123" w:name="_Toc530035115"/>
    </w:p>
    <w:p w14:paraId="253A5915" w14:textId="2578B2F3" w:rsidR="00FE1976" w:rsidRPr="004721F5" w:rsidRDefault="00FE1976" w:rsidP="004721F5">
      <w:pPr>
        <w:pStyle w:val="Heading1"/>
      </w:pPr>
      <w:bookmarkStart w:id="124" w:name="_Toc119072244"/>
      <w:r w:rsidRPr="004721F5">
        <w:lastRenderedPageBreak/>
        <w:t>Starpnozaru atbalstāmie virzieni</w:t>
      </w:r>
      <w:bookmarkEnd w:id="122"/>
      <w:bookmarkEnd w:id="123"/>
      <w:bookmarkEnd w:id="124"/>
      <w:r w:rsidRPr="004721F5">
        <w:t xml:space="preserve"> </w:t>
      </w:r>
    </w:p>
    <w:p w14:paraId="1F7A8529" w14:textId="79BDDE3F" w:rsidR="00FE267B" w:rsidRPr="00F7180F" w:rsidRDefault="00FE267B" w:rsidP="00FE267B">
      <w:pPr>
        <w:spacing w:after="0"/>
        <w:rPr>
          <w:rFonts w:ascii="Segoe UI" w:eastAsia="Times New Roman" w:hAnsi="Segoe UI" w:cs="Times New Roman"/>
          <w:lang w:eastAsia="lv-LV"/>
        </w:rPr>
      </w:pPr>
      <w:bookmarkStart w:id="125" w:name="_Hlk529893554"/>
      <w:r w:rsidRPr="00F7180F">
        <w:rPr>
          <w:rFonts w:ascii="Segoe UI" w:eastAsia="Times New Roman" w:hAnsi="Segoe UI" w:cs="Times New Roman"/>
          <w:lang w:eastAsia="lv-LV"/>
        </w:rPr>
        <w:t>Uzsākot Latvijas Atveseļošanas un noturības mehānisma plāna 5.1.r. reformu un investīciju virziena "Produktivitātes paaugstināšana caur investīciju apjoma palielināšanu P&amp;A" 5.1.1.r. reformas "Inovāciju pārvaldība un privāto P&amp;A investīciju motivācija" 5.1.1.2.i. investīcijas "Atbalsta instruments inovāciju klasteru attīstībai" īstenošanu kom</w:t>
      </w:r>
      <w:r w:rsidR="00D74059">
        <w:rPr>
          <w:rFonts w:ascii="Segoe UI" w:eastAsia="Times New Roman" w:hAnsi="Segoe UI" w:cs="Times New Roman"/>
          <w:lang w:eastAsia="lv-LV"/>
        </w:rPr>
        <w:t>pe</w:t>
      </w:r>
      <w:r w:rsidRPr="00F7180F">
        <w:rPr>
          <w:rFonts w:ascii="Segoe UI" w:eastAsia="Times New Roman" w:hAnsi="Segoe UI" w:cs="Times New Roman"/>
          <w:lang w:eastAsia="lv-LV"/>
        </w:rPr>
        <w:t>tences centrā, starpnozaru projektu īstenošanai tiks pievērsta lielāka uzmanība, nodrošinot, ka starpnozaru projektu īstenošanai tiks nov</w:t>
      </w:r>
      <w:r w:rsidR="00D74059">
        <w:rPr>
          <w:rFonts w:ascii="Segoe UI" w:eastAsia="Times New Roman" w:hAnsi="Segoe UI" w:cs="Times New Roman"/>
          <w:lang w:eastAsia="lv-LV"/>
        </w:rPr>
        <w:t>i</w:t>
      </w:r>
      <w:r w:rsidRPr="00F7180F">
        <w:rPr>
          <w:rFonts w:ascii="Segoe UI" w:eastAsia="Times New Roman" w:hAnsi="Segoe UI" w:cs="Times New Roman"/>
          <w:lang w:eastAsia="lv-LV"/>
        </w:rPr>
        <w:t xml:space="preserve">rzīti vismaz 25% no piešķirtā finansējuma. </w:t>
      </w:r>
      <w:r>
        <w:rPr>
          <w:rFonts w:ascii="Segoe UI" w:eastAsia="Times New Roman" w:hAnsi="Segoe UI" w:cs="Times New Roman"/>
          <w:lang w:eastAsia="lv-LV"/>
        </w:rPr>
        <w:t>FBMTKC</w:t>
      </w:r>
      <w:r w:rsidRPr="00F7180F">
        <w:rPr>
          <w:rFonts w:ascii="Segoe UI" w:eastAsia="Times New Roman" w:hAnsi="Segoe UI" w:cs="Times New Roman"/>
          <w:lang w:eastAsia="lv-LV"/>
        </w:rPr>
        <w:t xml:space="preserve"> ietvaros lielāka uzmanība tiks pievērsta vairākām nozarēm: </w:t>
      </w:r>
    </w:p>
    <w:p w14:paraId="01C3DA02" w14:textId="0C40CD9F" w:rsidR="00FE1976" w:rsidRDefault="00FE1976" w:rsidP="006F31C1">
      <w:pPr>
        <w:pStyle w:val="ListParagraph"/>
        <w:numPr>
          <w:ilvl w:val="0"/>
          <w:numId w:val="45"/>
        </w:numPr>
        <w:shd w:val="clear" w:color="auto" w:fill="auto"/>
        <w:spacing w:before="200" w:after="160" w:line="259" w:lineRule="auto"/>
      </w:pPr>
      <w:r w:rsidRPr="007B4A2E">
        <w:t>I</w:t>
      </w:r>
      <w:r>
        <w:t>nformācijas un komunikācijas tehnoloģijas (t.sk. NACE 62, 63 2 red.)</w:t>
      </w:r>
    </w:p>
    <w:p w14:paraId="2D1D02A3" w14:textId="1D3F2383" w:rsidR="001F2157" w:rsidRDefault="001F2157" w:rsidP="006F31C1">
      <w:pPr>
        <w:pStyle w:val="ListParagraph"/>
        <w:numPr>
          <w:ilvl w:val="0"/>
          <w:numId w:val="45"/>
        </w:numPr>
        <w:shd w:val="clear" w:color="auto" w:fill="auto"/>
        <w:spacing w:before="200" w:after="160" w:line="259" w:lineRule="auto"/>
      </w:pPr>
      <w:r>
        <w:t>Bioekonomikas uzņēmumi, izejvielu audzētāji, ražotāji, piegādātāji (NACE 01, 02 2 red.)</w:t>
      </w:r>
    </w:p>
    <w:p w14:paraId="39A4A270" w14:textId="77777777" w:rsidR="00FE1976" w:rsidRDefault="00FE1976" w:rsidP="006F31C1">
      <w:pPr>
        <w:pStyle w:val="ListParagraph"/>
        <w:numPr>
          <w:ilvl w:val="0"/>
          <w:numId w:val="45"/>
        </w:numPr>
        <w:shd w:val="clear" w:color="auto" w:fill="auto"/>
        <w:spacing w:before="200" w:after="160" w:line="259" w:lineRule="auto"/>
      </w:pPr>
      <w:r>
        <w:t>Ķīmisko vielu nozares uzņēmumi (t.sk. NACE 20 red.)</w:t>
      </w:r>
    </w:p>
    <w:p w14:paraId="7BF86CF0" w14:textId="0DF9B3CA" w:rsidR="00FE1976" w:rsidRDefault="005D39D5" w:rsidP="006F31C1">
      <w:pPr>
        <w:pStyle w:val="ListParagraph"/>
        <w:numPr>
          <w:ilvl w:val="0"/>
          <w:numId w:val="45"/>
        </w:numPr>
        <w:shd w:val="clear" w:color="auto" w:fill="auto"/>
        <w:spacing w:before="200" w:after="160" w:line="259" w:lineRule="auto"/>
      </w:pPr>
      <w:r>
        <w:t>Mehatronika</w:t>
      </w:r>
      <w:r w:rsidR="00CC060A">
        <w:t>, t.sk., e</w:t>
      </w:r>
      <w:r w:rsidR="00FE1976">
        <w:t xml:space="preserve">lektronisko </w:t>
      </w:r>
      <w:r w:rsidR="00481482">
        <w:t xml:space="preserve">(t.sk. </w:t>
      </w:r>
      <w:r w:rsidR="00460EBA">
        <w:t>medicīnisko un opti</w:t>
      </w:r>
      <w:r w:rsidR="00481482">
        <w:t>s</w:t>
      </w:r>
      <w:r w:rsidR="00460EBA">
        <w:t>ko</w:t>
      </w:r>
      <w:r w:rsidR="00481482">
        <w:t>)</w:t>
      </w:r>
      <w:r w:rsidR="00460EBA">
        <w:t xml:space="preserve"> iekārtu ražošana</w:t>
      </w:r>
      <w:r w:rsidR="00481482">
        <w:t>, medicīnas nozares instrumentu ražošana</w:t>
      </w:r>
      <w:r>
        <w:t>,</w:t>
      </w:r>
      <w:r w:rsidR="00FE1976">
        <w:t xml:space="preserve"> (NACE 26</w:t>
      </w:r>
      <w:r w:rsidR="00481482">
        <w:t xml:space="preserve">, 32.5 </w:t>
      </w:r>
      <w:r w:rsidR="00FE1976">
        <w:t xml:space="preserve">2 red.) </w:t>
      </w:r>
    </w:p>
    <w:p w14:paraId="760682E5" w14:textId="34289407" w:rsidR="001F2157" w:rsidRDefault="001F2157" w:rsidP="006F31C1">
      <w:pPr>
        <w:pStyle w:val="ListParagraph"/>
        <w:numPr>
          <w:ilvl w:val="0"/>
          <w:numId w:val="45"/>
        </w:numPr>
        <w:shd w:val="clear" w:color="auto" w:fill="auto"/>
        <w:spacing w:before="200" w:after="160" w:line="259" w:lineRule="auto"/>
      </w:pPr>
      <w:r>
        <w:t>Citi profesionālie, zinātniskie un tehniskie pakalpojumi</w:t>
      </w:r>
      <w:r w:rsidR="009D35FE">
        <w:t>, t.sk. veselības aprūpe un aizsardzība</w:t>
      </w:r>
      <w:r>
        <w:t xml:space="preserve"> (piem., NACE 71.12, 71.2, 72, 73, NACE 86.1</w:t>
      </w:r>
      <w:r w:rsidR="00065438">
        <w:t>0</w:t>
      </w:r>
      <w:r>
        <w:t xml:space="preserve"> 2 red. u.c) </w:t>
      </w:r>
    </w:p>
    <w:p w14:paraId="56265D58" w14:textId="13C3AA16" w:rsidR="00FE1976" w:rsidRDefault="00FE1976" w:rsidP="006F31C1">
      <w:pPr>
        <w:pStyle w:val="ListParagraph"/>
        <w:numPr>
          <w:ilvl w:val="0"/>
          <w:numId w:val="45"/>
        </w:numPr>
        <w:shd w:val="clear" w:color="auto" w:fill="auto"/>
        <w:spacing w:before="200" w:after="160" w:line="259" w:lineRule="auto"/>
      </w:pPr>
      <w:r>
        <w:t>Loģistika</w:t>
      </w:r>
      <w:r w:rsidR="001F2157">
        <w:t xml:space="preserve"> un piegāde</w:t>
      </w:r>
      <w:r w:rsidRPr="007B4A2E">
        <w:t xml:space="preserve"> (</w:t>
      </w:r>
      <w:r>
        <w:t>t.sk. NACE 52.10</w:t>
      </w:r>
      <w:r w:rsidR="001F2157">
        <w:t>, 46.46</w:t>
      </w:r>
      <w:r>
        <w:t xml:space="preserve"> 2 red.) </w:t>
      </w:r>
    </w:p>
    <w:p w14:paraId="5460C3CA" w14:textId="591A7A4F" w:rsidR="00CC060A" w:rsidRDefault="00CC060A" w:rsidP="006F31C1">
      <w:pPr>
        <w:pStyle w:val="ListParagraph"/>
        <w:numPr>
          <w:ilvl w:val="0"/>
          <w:numId w:val="45"/>
        </w:numPr>
        <w:shd w:val="clear" w:color="auto" w:fill="auto"/>
        <w:spacing w:before="200" w:after="160" w:line="259" w:lineRule="auto"/>
      </w:pPr>
      <w:r>
        <w:t>Vides aizsardzība</w:t>
      </w:r>
      <w:r w:rsidR="003A17AE">
        <w:t xml:space="preserve"> un attīrīšana (t.sk. NACE 37</w:t>
      </w:r>
      <w:r w:rsidR="00FD4B47">
        <w:t xml:space="preserve"> 2 red</w:t>
      </w:r>
      <w:r w:rsidR="003A17AE">
        <w:t>)</w:t>
      </w:r>
    </w:p>
    <w:p w14:paraId="233A2084" w14:textId="77777777" w:rsidR="00217A69" w:rsidRDefault="00FE1976" w:rsidP="00FE1976">
      <w:r>
        <w:t>Informācijas un komunikāciju tehnoloģijām ir izteikta horizontāla ietekme, kas var veicināt tautsaimniecības transformāciju uz augstākas pievienotās vērtības produkcijas ražošanu. Pielietojot informācijas un komunikācijas tehnoloģiju risinājumus, var efektīvi risināt ražošanas tehnoloģisko procesu efektivitātes jautājumus, nodrošināt kvalitatīvus un datorizētus monitoringa risinājumus, veicināt resursu izlietošanas uzskaites, sagādes un piegādes procesu datorizēšanu. Lai veicinātu attiecīgās nozares piesaistīšanu, ir paredzama sadarbības attīstīšana ar attiecīgajām nozares asociācijām, klasteriem, klasteru apvienībām (piemēram, LIKTA</w:t>
      </w:r>
      <w:r w:rsidR="001F2157">
        <w:t>, IT klasteris utt.</w:t>
      </w:r>
      <w:r>
        <w:t>), kā arī individuāla attiecīgo nozaru saimnieciskās darbības veicēju uzrunāšana.</w:t>
      </w:r>
    </w:p>
    <w:p w14:paraId="2C9AB7CE" w14:textId="02A4D441" w:rsidR="00FE1976" w:rsidRDefault="00217A69" w:rsidP="00FE1976">
      <w:r>
        <w:t>Digitalizācijas jomā - b</w:t>
      </w:r>
      <w:r w:rsidRPr="00CE2F9A">
        <w:t>ūtiski veidot atbalsta, sadarbības un koordinācijas sistēmu, kura sekmē jaunu, uz lietotāju centrētu produktu, pakalpojumu un risinājumu attīstīšanu, kas sniedz pienesumu resursefektivitātes, dekarbonizācijas un enerģētiskās drošības mērķu sasniegšanai, kā arī uzņēmējdarbības energoefektivitātes uzlabošanai, modernizācijai</w:t>
      </w:r>
      <w:r>
        <w:t xml:space="preserve"> </w:t>
      </w:r>
      <w:r w:rsidRPr="00CE2F9A">
        <w:t>un</w:t>
      </w:r>
      <w:r>
        <w:t xml:space="preserve"> </w:t>
      </w:r>
      <w:r w:rsidRPr="00CE2F9A">
        <w:t>konkurētspējas paaugstināšanai</w:t>
      </w:r>
      <w:r>
        <w:t xml:space="preserve">. </w:t>
      </w:r>
      <w:r w:rsidRPr="001915BB">
        <w:t>Digitālajiem risinājumiem ir jāspēj veicināt nozares uzņēmumu transformāciju uz augstāku pievienoto vērtību un lielāku resursefektivitāti, tostarp nodrošinot nozares uzņēmumu procesu digitalizāciju, sekmējot ilgtspējīgu ekonomisko attīstību</w:t>
      </w:r>
      <w:r>
        <w:t>.</w:t>
      </w:r>
      <w:r w:rsidR="00FE1976">
        <w:t xml:space="preserve">  </w:t>
      </w:r>
    </w:p>
    <w:p w14:paraId="049C04D2" w14:textId="7240502A" w:rsidR="001F2157" w:rsidRDefault="001F2157" w:rsidP="00FE1976">
      <w:r>
        <w:t>Bioekonomikas uzņēmumi, izejvielu audzētāji, ražotāji, piegādātāji</w:t>
      </w:r>
      <w:r w:rsidR="00065438">
        <w:t xml:space="preserve"> – starpnozaru sadarbības stiprināšana ar šiem uzņēmumiem ir nepiecieš</w:t>
      </w:r>
      <w:r w:rsidR="00390C8E">
        <w:t>am</w:t>
      </w:r>
      <w:r w:rsidR="00065438">
        <w:t xml:space="preserve">a, lai nodrošinātu labāku un piemērotāku vietējo izejvielu piegādi, samazinot šādu izejvielu importa nepieciešamību. Šādu sadarbības iespēju attīstība jau daļēji notiek gan ar attiecīgās jomas zinātnisko institūciju starpniecību (piemēram, LLU, BIOR, OSI u.c.), gan ar atsevišķu nozaru sadarbības iniciatīvām un tiks stiprināta kompetences centra ietvaros.  </w:t>
      </w:r>
    </w:p>
    <w:p w14:paraId="3C1EA5DA" w14:textId="7A6F523C" w:rsidR="00FE1976" w:rsidRDefault="00FE1976" w:rsidP="00FE1976">
      <w:r>
        <w:t xml:space="preserve">Ķīmisko vielu pārstrādes un ražošanas uzņēmumiem ir nozīme, piemēram, </w:t>
      </w:r>
      <w:r w:rsidR="00481482">
        <w:t>bio</w:t>
      </w:r>
      <w:r w:rsidR="001F2157">
        <w:t>tehnoloģisko ķīmiskās</w:t>
      </w:r>
      <w:r>
        <w:t xml:space="preserve"> apstrādes </w:t>
      </w:r>
      <w:r w:rsidR="001F2157">
        <w:t>risinājumu, t.sk. iepakojums (</w:t>
      </w:r>
      <w:r w:rsidR="00481482">
        <w:t xml:space="preserve">zāļu </w:t>
      </w:r>
      <w:r w:rsidR="001F2157">
        <w:t>iekapsulēšana) izstrāde</w:t>
      </w:r>
      <w:r>
        <w:t>.</w:t>
      </w:r>
      <w:r w:rsidR="001F2157">
        <w:t xml:space="preserve"> </w:t>
      </w:r>
      <w:r>
        <w:t xml:space="preserve">Ņemot vērā to, ka ķīmijas pārstrādes uzņēmumi ir uzskatāmi par vidēji augsto tehnoloģiju nozaru pārstāvjiem, sadarbības stiprināšanai ir nozīme arī, veicinot </w:t>
      </w:r>
      <w:r w:rsidR="001F2157">
        <w:t>FBTMKC</w:t>
      </w:r>
      <w:r>
        <w:t xml:space="preserve"> ieguldījumu Latvijas Viedās specializācijas stratēģijas mērķa vērtību sasniegšanā. </w:t>
      </w:r>
    </w:p>
    <w:p w14:paraId="007A3558" w14:textId="28506188" w:rsidR="001F2157" w:rsidRDefault="001F2157" w:rsidP="00FE1976">
      <w:bookmarkStart w:id="126" w:name="_Hlk530052944"/>
      <w:r>
        <w:lastRenderedPageBreak/>
        <w:t xml:space="preserve">Elektronisko </w:t>
      </w:r>
      <w:r w:rsidR="00460EBA">
        <w:t>ražošanai</w:t>
      </w:r>
      <w:r>
        <w:t xml:space="preserve"> </w:t>
      </w:r>
      <w:r w:rsidR="00460EBA">
        <w:t>(t.sk. medicīnisko un opti</w:t>
      </w:r>
      <w:r w:rsidR="00AE6600">
        <w:t>s</w:t>
      </w:r>
      <w:r w:rsidR="00460EBA">
        <w:t xml:space="preserve">ko iekārtas) </w:t>
      </w:r>
      <w:r w:rsidR="00FE1976">
        <w:t xml:space="preserve">ir raksturīga augsta pievienotā vērtība, līdz ar to sadarbības veicināšana ar šo nozari ir būtiska, lai sasniegtu Latvijas Viedās specializācijas rādītāju mērķu vērtības, tai skaitā “augsto un vidēji augsto tehnoloģiju nozaru īpatsvars Latvijas preču eksportā ir 31%”. Starpnozaru sadarbība ar šo nozari ir būtiska, lai nodrošinātu ilgtspējīgus un inovatīvus </w:t>
      </w:r>
      <w:r w:rsidR="00460EBA">
        <w:t>tehnoloģiskus risinājumus medicīnas iekārtās pacientu apkalpošanas punktos (</w:t>
      </w:r>
      <w:r w:rsidR="00065438" w:rsidRPr="00065438">
        <w:rPr>
          <w:i/>
        </w:rPr>
        <w:t>point of care</w:t>
      </w:r>
      <w:r w:rsidR="00065438">
        <w:t xml:space="preserve">, </w:t>
      </w:r>
      <w:r w:rsidR="00460EBA">
        <w:t>POC)</w:t>
      </w:r>
      <w:r w:rsidR="00481482">
        <w:t>, optisko un elektronisko iekārtu risinājumus farmācijas biotehnoloģiju jomās, t.sk. zāļu testēšanas un laboratorisko izmeklējumu vajadzībām utt</w:t>
      </w:r>
      <w:r w:rsidR="00FE1976">
        <w:t xml:space="preserve">. Lai veicinātu attiecīgās nozares piesaistīšanu, ir plānots arī turpmāk attīstīt sadarbību ar attiecīgajām nozares asociācijām, klasteriem, klasteru apvienībām (piemēram, LEEA, LETERA u.tml.), kā arī individuāli uzrunāt attiecīgās jomas saimnieciskās darbības veicējus. </w:t>
      </w:r>
      <w:bookmarkEnd w:id="126"/>
    </w:p>
    <w:p w14:paraId="5EDE518E" w14:textId="315F98EC" w:rsidR="001F2157" w:rsidRDefault="001F2157" w:rsidP="00FE1976">
      <w:r>
        <w:t>Citi profesionālie, zinātniskie un tehniskie pakalpojumi</w:t>
      </w:r>
      <w:r w:rsidR="009D35FE">
        <w:t>, t.sk. veselības aprūpe un aizsardzība,</w:t>
      </w:r>
      <w:r>
        <w:t xml:space="preserve"> paredz plašāku sadarbību ar </w:t>
      </w:r>
      <w:r w:rsidR="00481482">
        <w:t>f</w:t>
      </w:r>
      <w:r w:rsidR="00142833">
        <w:t>ar</w:t>
      </w:r>
      <w:r w:rsidR="00481482">
        <w:t>m</w:t>
      </w:r>
      <w:r w:rsidR="00142833">
        <w:t>ā</w:t>
      </w:r>
      <w:r w:rsidR="00481482">
        <w:t>cijas, medic</w:t>
      </w:r>
      <w:r w:rsidR="00142833">
        <w:t>ī</w:t>
      </w:r>
      <w:r w:rsidR="00481482">
        <w:t>n</w:t>
      </w:r>
      <w:r w:rsidR="00142833">
        <w:t>a</w:t>
      </w:r>
      <w:r w:rsidR="00481482">
        <w:t>s un biotehnoloģiju jomas</w:t>
      </w:r>
      <w:r>
        <w:t xml:space="preserve"> pētniecības iestādēm Latvijā un ārpus tās, kā arī nozarēm, kas veicinātu jomas uzņēmumu konkurētspējas paaugstināšanas iespējas starptautiskajā mērogā, uzlabojot to prasmes eksportspējīgu inovatīvu tehnoloģiju radīšanā un attīstīšanā (tai skaitā eko-tehnoloģiju un jaunu šķirņu pirmproduktu radīšanā). </w:t>
      </w:r>
      <w:r w:rsidR="00481482">
        <w:t xml:space="preserve"> Piemēram, ņemot vērā ilgstošo pētniecības ciklu un sarežģīto nozares normatīvo regulējumu,</w:t>
      </w:r>
      <w:r>
        <w:t xml:space="preserve"> viens no būtiskiem elementiem </w:t>
      </w:r>
      <w:r w:rsidR="00481482">
        <w:t xml:space="preserve">ir šādu pētniecības organizāciju esošā pieredze un uzticamība. </w:t>
      </w:r>
      <w:r w:rsidR="00CD7633">
        <w:t xml:space="preserve">Sadarbība ar šo nozaru pārstāvjiem tiks meklēta gan ar Latvijā esošo citu kompetences centru starpniecību, gan caur nozares starptautisko profesionālu uzņēmumu sadarbības tīkliem. </w:t>
      </w:r>
    </w:p>
    <w:p w14:paraId="6B9BD344" w14:textId="3B7A74AB" w:rsidR="001F2157" w:rsidRDefault="001F2157" w:rsidP="00FE1976">
      <w:r>
        <w:t xml:space="preserve">Loģistikas nozare var tik uztverta plašāka mērogā (ņemot vērā visus sagādes un gatavās produkcijas vērtības ķēdes elementus) vai šaurākā mērogā (koncentrējoties uz noliktavas un uzglabāšanas darbībām). Efektīvs loģistikas pieprasījums skar eko-tehnoloģisku produktu ražotājus, kā arī visus farmācijas un citus biotehnoloģijās balstītu produktu ražotājus. Starpnozaru ciešāka sadarbība var veicināt </w:t>
      </w:r>
      <w:r w:rsidR="00FD4B47">
        <w:t>jomas ražojošo nozaru</w:t>
      </w:r>
      <w:r>
        <w:t xml:space="preserve"> efektivitātes un konkurētspējas jautājumu risināšanu. Lai veicinātu attiecīgās nozares piesaistīšanu, ir plānots arī turpmāk attīstīt sadarbību ar attiecīgajām nozares asociācijām, klasteriem, klasteru apvienībām (piemēram, Latvijas Loģistikas asociāciju u.tml.), kā arī individuāli uzrunāt attiecīgās jomas saimnieciskās darbības veicējus.</w:t>
      </w:r>
    </w:p>
    <w:p w14:paraId="4CA88A6C" w14:textId="58847832" w:rsidR="00936E58" w:rsidRDefault="00936E58" w:rsidP="00FE1976">
      <w:r>
        <w:t xml:space="preserve">Vides projekti, īpaši farmācijas jomā, pārbaudot zāļu ražošanas un ekoloģisko </w:t>
      </w:r>
      <w:r w:rsidR="003A12AB">
        <w:t>ietekmi</w:t>
      </w:r>
      <w:r w:rsidR="00B35891">
        <w:t xml:space="preserve"> (īpaši uz notekūdeņiem)</w:t>
      </w:r>
      <w:r w:rsidR="003A12AB">
        <w:t xml:space="preserve"> kļūst arvien būtiskāki un tiks arī iekļauti</w:t>
      </w:r>
      <w:r w:rsidR="00B35891">
        <w:t xml:space="preserve"> KC</w:t>
      </w:r>
      <w:r w:rsidR="003A12AB">
        <w:t xml:space="preserve"> starpnozaru projektu ietvaros.</w:t>
      </w:r>
      <w:r w:rsidR="001F6D3D">
        <w:t xml:space="preserve"> Tiks veidotas sadarbības ar attiecīgas jomas organizācijām </w:t>
      </w:r>
      <w:r w:rsidR="00984796">
        <w:t xml:space="preserve">un asociācijām, kā arī veicināta šādu interešu veidošana KC dalībnieku vidū. </w:t>
      </w:r>
    </w:p>
    <w:p w14:paraId="1F745315" w14:textId="6E03A57B" w:rsidR="00E7377F" w:rsidRPr="00AD4248" w:rsidRDefault="00E7377F" w:rsidP="00FE1976">
      <w:r w:rsidRPr="00AD4248">
        <w:t xml:space="preserve">Kompetences centrs paredzēs vismaz vienu organizētu konferenci un semināru katru gadu, lai nodrošinātu sadarbību ar līdzīgām organizācijām (t.sk. tiks paredzēta dalība Latvijas vai ārvalstu konferencēs un semināros, veicinot starptautisku sadarbību). </w:t>
      </w:r>
    </w:p>
    <w:p w14:paraId="5D00C7D6" w14:textId="0C298922" w:rsidR="00FE1976" w:rsidRPr="00246383" w:rsidRDefault="00FE1976" w:rsidP="001D5098">
      <w:pPr>
        <w:pStyle w:val="Heading2"/>
      </w:pPr>
      <w:bookmarkStart w:id="127" w:name="_Toc529806205"/>
      <w:bookmarkStart w:id="128" w:name="_Toc530035116"/>
      <w:bookmarkStart w:id="129" w:name="_Toc119072245"/>
      <w:bookmarkEnd w:id="125"/>
      <w:r w:rsidRPr="00C3045B">
        <w:t>D</w:t>
      </w:r>
      <w:r w:rsidRPr="00A912A1">
        <w:t>arbības plāns saimnieciskās darbības veicējiem starpnozaru pētījumu veikšanai</w:t>
      </w:r>
      <w:bookmarkEnd w:id="127"/>
      <w:bookmarkEnd w:id="128"/>
      <w:bookmarkEnd w:id="129"/>
    </w:p>
    <w:p w14:paraId="01FF414D" w14:textId="77777777" w:rsidR="00FE1976" w:rsidRDefault="00FE1976" w:rsidP="00FE1976">
      <w:r>
        <w:t xml:space="preserve">Izstrādātais darbības plāns sadarbībai ar saimnieciskās darbības veicējiem starpnozaru projektu īstenošanā paredz šādas aktivitātes trijos sadarbības attīstības posmos. </w:t>
      </w:r>
    </w:p>
    <w:p w14:paraId="3878D14F" w14:textId="77777777" w:rsidR="00FE1976" w:rsidRPr="00576590" w:rsidRDefault="00FE1976" w:rsidP="006F31C1">
      <w:pPr>
        <w:pStyle w:val="ListParagraph"/>
        <w:numPr>
          <w:ilvl w:val="0"/>
          <w:numId w:val="30"/>
        </w:numPr>
        <w:shd w:val="clear" w:color="auto" w:fill="auto"/>
        <w:spacing w:before="200" w:after="160" w:line="259" w:lineRule="auto"/>
        <w:ind w:left="360"/>
        <w:rPr>
          <w:u w:val="single"/>
        </w:rPr>
      </w:pPr>
      <w:r w:rsidRPr="00576590">
        <w:rPr>
          <w:u w:val="single"/>
        </w:rPr>
        <w:t xml:space="preserve">Projektu veidošanas gaitā: </w:t>
      </w:r>
    </w:p>
    <w:p w14:paraId="0E028F3C" w14:textId="77777777" w:rsidR="00FE1976" w:rsidRDefault="00FE1976" w:rsidP="006F31C1">
      <w:pPr>
        <w:pStyle w:val="ListParagraph"/>
        <w:numPr>
          <w:ilvl w:val="0"/>
          <w:numId w:val="47"/>
        </w:numPr>
        <w:shd w:val="clear" w:color="auto" w:fill="auto"/>
        <w:spacing w:before="200" w:after="160" w:line="259" w:lineRule="auto"/>
      </w:pPr>
      <w:r>
        <w:t>Veicināt tādu saimnieciskās darbības veicēju sadarbību, kuru saimnieciskās darbības statistikas kodi (NACE kodi) atšķiras pirmajā līmenī.</w:t>
      </w:r>
    </w:p>
    <w:p w14:paraId="133D9883" w14:textId="60489A56" w:rsidR="00FE1976" w:rsidRDefault="00FE1976" w:rsidP="006F31C1">
      <w:pPr>
        <w:pStyle w:val="ListParagraph"/>
        <w:numPr>
          <w:ilvl w:val="0"/>
          <w:numId w:val="47"/>
        </w:numPr>
        <w:shd w:val="clear" w:color="auto" w:fill="auto"/>
        <w:spacing w:before="200" w:after="160" w:line="259" w:lineRule="auto"/>
      </w:pPr>
      <w:r>
        <w:lastRenderedPageBreak/>
        <w:t>No NACE kodu otrā līmeņa vai starplīmeņa starpnozaru sadarbības pētījumu projektus FBTMKC projektu atlases padome apstiprina tad, ja nav iesniegts starpnozaru pētījuma pieteikuma ar pirmā līmeņa NACE kodu.</w:t>
      </w:r>
    </w:p>
    <w:p w14:paraId="3D109768" w14:textId="77777777" w:rsidR="00FE1976" w:rsidRDefault="00FE1976" w:rsidP="006F31C1">
      <w:pPr>
        <w:pStyle w:val="ListParagraph"/>
        <w:numPr>
          <w:ilvl w:val="0"/>
          <w:numId w:val="47"/>
        </w:numPr>
        <w:shd w:val="clear" w:color="auto" w:fill="auto"/>
        <w:spacing w:before="200" w:after="160" w:line="259" w:lineRule="auto"/>
      </w:pPr>
      <w:r>
        <w:t>Projektu sākotnējās izskatīšanas laikā tiks vērtēta projekta būtība, ņemot vērā, ka s</w:t>
      </w:r>
      <w:r w:rsidRPr="00B64F16">
        <w:t>tarpnozaru</w:t>
      </w:r>
      <w:r>
        <w:t xml:space="preserve"> sadarbības pētījuma projekts ir </w:t>
      </w:r>
      <w:r w:rsidRPr="00B64F16">
        <w:t>divu vai vairāku dažādu nozaru (ar dažādiem saimnieciskās darbības statistiskās klasifikācijas kodiem) saimnieciskās darbības veicēju dalīšanās vai apmaiņa ar informāciju, resursiem, tehnoloģijām, metodēm, lai kopīgi izstrādātu jaunu produktu vai pakalpojumu, kur, atsevišķi darbojoties, nevar sasniegt vēlamo rezultātu</w:t>
      </w:r>
      <w:r>
        <w:t xml:space="preserve">. </w:t>
      </w:r>
    </w:p>
    <w:p w14:paraId="069CF123" w14:textId="58E6BF99" w:rsidR="00FE1976" w:rsidRDefault="00FE1976" w:rsidP="006F31C1">
      <w:pPr>
        <w:pStyle w:val="ListParagraph"/>
        <w:numPr>
          <w:ilvl w:val="0"/>
          <w:numId w:val="47"/>
        </w:numPr>
        <w:shd w:val="clear" w:color="auto" w:fill="auto"/>
        <w:spacing w:before="200" w:after="160" w:line="259" w:lineRule="auto"/>
      </w:pPr>
      <w:r>
        <w:t xml:space="preserve">Projektu sākotnējās izskatīšanas laikā tiks vērtēta arī projektā iesaistīto uzņēmumu finanšu un pētnieciskā kapacitāte. </w:t>
      </w:r>
    </w:p>
    <w:p w14:paraId="4DDB80EA" w14:textId="77777777" w:rsidR="00FE1976" w:rsidRPr="00576590" w:rsidRDefault="00FE1976" w:rsidP="006F31C1">
      <w:pPr>
        <w:pStyle w:val="ListParagraph"/>
        <w:numPr>
          <w:ilvl w:val="0"/>
          <w:numId w:val="30"/>
        </w:numPr>
        <w:shd w:val="clear" w:color="auto" w:fill="auto"/>
        <w:spacing w:before="200" w:after="160" w:line="259" w:lineRule="auto"/>
        <w:ind w:left="360"/>
        <w:rPr>
          <w:u w:val="single"/>
        </w:rPr>
      </w:pPr>
      <w:r w:rsidRPr="00576590">
        <w:rPr>
          <w:u w:val="single"/>
        </w:rPr>
        <w:t xml:space="preserve">Projektu atlases gaitā: </w:t>
      </w:r>
    </w:p>
    <w:p w14:paraId="44133439" w14:textId="77777777" w:rsidR="00FE1976" w:rsidRDefault="00FE1976" w:rsidP="006F31C1">
      <w:pPr>
        <w:pStyle w:val="ListParagraph"/>
        <w:numPr>
          <w:ilvl w:val="0"/>
          <w:numId w:val="48"/>
        </w:numPr>
        <w:shd w:val="clear" w:color="auto" w:fill="auto"/>
        <w:spacing w:before="200" w:after="160" w:line="259" w:lineRule="auto"/>
      </w:pPr>
      <w:r>
        <w:t xml:space="preserve">Starpnozaru projektiem atlases un finansējuma piešķiršanas izvērtēšanas gaitā ir prioritāte. </w:t>
      </w:r>
    </w:p>
    <w:p w14:paraId="2FC73631" w14:textId="77777777" w:rsidR="00FE1976" w:rsidRDefault="00FE1976" w:rsidP="006F31C1">
      <w:pPr>
        <w:pStyle w:val="ListParagraph"/>
        <w:numPr>
          <w:ilvl w:val="0"/>
          <w:numId w:val="48"/>
        </w:numPr>
        <w:shd w:val="clear" w:color="auto" w:fill="auto"/>
        <w:spacing w:before="200" w:after="160" w:line="259" w:lineRule="auto"/>
      </w:pPr>
      <w:r>
        <w:t xml:space="preserve">Starpnozaru projektiem tiks vērtēta projekta atbilstība viedās specializācijas jomām vai uzņēmējdarbība atklājuma procesā noteiktajai specializācijas jomai vai apakšjomai. </w:t>
      </w:r>
    </w:p>
    <w:p w14:paraId="4CEC8795" w14:textId="77777777" w:rsidR="00FE1976" w:rsidRDefault="00FE1976" w:rsidP="006F31C1">
      <w:pPr>
        <w:pStyle w:val="ListParagraph"/>
        <w:numPr>
          <w:ilvl w:val="0"/>
          <w:numId w:val="48"/>
        </w:numPr>
        <w:shd w:val="clear" w:color="auto" w:fill="auto"/>
        <w:spacing w:before="200" w:after="160" w:line="259" w:lineRule="auto"/>
      </w:pPr>
      <w:r>
        <w:t xml:space="preserve">Starpnozaru projektiem, kas nodrošina pētniecības projekta atbilstību 4.-7. tehnoloģiskās gatavības līmenim, ir priekšroka. </w:t>
      </w:r>
    </w:p>
    <w:p w14:paraId="6FC8BF97" w14:textId="2BB93E4A" w:rsidR="00FE1976" w:rsidRDefault="00FE1976" w:rsidP="006F31C1">
      <w:pPr>
        <w:pStyle w:val="ListParagraph"/>
        <w:numPr>
          <w:ilvl w:val="0"/>
          <w:numId w:val="48"/>
        </w:numPr>
        <w:shd w:val="clear" w:color="auto" w:fill="auto"/>
        <w:spacing w:before="200" w:after="160" w:line="259" w:lineRule="auto"/>
      </w:pPr>
      <w:r>
        <w:t xml:space="preserve">Izvērtējot starpnozaru projektus, projektu atlases padomes sēdes komisijā tiks iekļauts citas nozares pārstāvis, gadījumā, ja izvērtējot tiks atzīts, ka esošajai atlases padomei nav pietiekama kompetence šāda projekta izvērtēšanai. Šāda pārstāvja iekļaušana nodrošinās arī sadarbību ar līdzīgām organizācijām. </w:t>
      </w:r>
    </w:p>
    <w:p w14:paraId="036AE68A" w14:textId="77777777" w:rsidR="00FE1976" w:rsidRPr="00576590" w:rsidRDefault="00FE1976" w:rsidP="006F31C1">
      <w:pPr>
        <w:pStyle w:val="ListParagraph"/>
        <w:numPr>
          <w:ilvl w:val="0"/>
          <w:numId w:val="30"/>
        </w:numPr>
        <w:shd w:val="clear" w:color="auto" w:fill="auto"/>
        <w:spacing w:before="200" w:after="160" w:line="259" w:lineRule="auto"/>
        <w:ind w:left="360"/>
        <w:rPr>
          <w:u w:val="single"/>
        </w:rPr>
      </w:pPr>
      <w:r w:rsidRPr="00576590">
        <w:rPr>
          <w:u w:val="single"/>
        </w:rPr>
        <w:t xml:space="preserve">Projektu īstenošanas gaitā: </w:t>
      </w:r>
    </w:p>
    <w:p w14:paraId="371AF827" w14:textId="54E80C9E" w:rsidR="00FE1976" w:rsidRDefault="00FE1976" w:rsidP="006F31C1">
      <w:pPr>
        <w:pStyle w:val="ListParagraph"/>
        <w:numPr>
          <w:ilvl w:val="0"/>
          <w:numId w:val="49"/>
        </w:numPr>
        <w:shd w:val="clear" w:color="auto" w:fill="auto"/>
        <w:spacing w:before="200" w:after="160" w:line="259" w:lineRule="auto"/>
      </w:pPr>
      <w:r>
        <w:t>Tā kā starpnozaru projekti pēc savas būtības ir sarežģītāki par nozares projektiem, ar starpposma rezultātu palīdzību detalizēti tiks izvērtēts starpnozaru projektu īstenošanas progress, kā arī detektēti riska momenti, kuru novēršanā FBTMKC sniegs konsultatīvu atbalstu.</w:t>
      </w:r>
    </w:p>
    <w:p w14:paraId="20AEB69A" w14:textId="776289B8" w:rsidR="00FE1976" w:rsidRDefault="00FE1976" w:rsidP="006F31C1">
      <w:pPr>
        <w:pStyle w:val="ListParagraph"/>
        <w:numPr>
          <w:ilvl w:val="0"/>
          <w:numId w:val="49"/>
        </w:numPr>
        <w:shd w:val="clear" w:color="auto" w:fill="auto"/>
        <w:spacing w:before="200" w:after="160" w:line="259" w:lineRule="auto"/>
      </w:pPr>
      <w:r>
        <w:t xml:space="preserve">FBTMKC </w:t>
      </w:r>
      <w:r w:rsidR="00284C11">
        <w:t xml:space="preserve">pētniecības projektu </w:t>
      </w:r>
      <w:r>
        <w:t>atlases padomes sēdēs,</w:t>
      </w:r>
      <w:r w:rsidR="00284C11">
        <w:t xml:space="preserve"> tiks organizētas iesākto projektu starpposmu rezultātu prezentācijas,</w:t>
      </w:r>
      <w:r>
        <w:t xml:space="preserve"> lai </w:t>
      </w:r>
      <w:r w:rsidR="004A2880">
        <w:t>izvērtētu starpposma izmaksu samērīgumu</w:t>
      </w:r>
      <w:r w:rsidR="00F31700">
        <w:t>;</w:t>
      </w:r>
    </w:p>
    <w:p w14:paraId="69A001E4" w14:textId="77777777" w:rsidR="00FE1976" w:rsidRPr="007B4A2E" w:rsidRDefault="00FE1976" w:rsidP="006F31C1">
      <w:pPr>
        <w:pStyle w:val="ListParagraph"/>
        <w:numPr>
          <w:ilvl w:val="0"/>
          <w:numId w:val="49"/>
        </w:numPr>
        <w:shd w:val="clear" w:color="auto" w:fill="auto"/>
        <w:spacing w:before="200" w:after="160" w:line="259" w:lineRule="auto"/>
      </w:pPr>
      <w:r>
        <w:t xml:space="preserve">Tiks veicināti zināšanu akumulēšanas un pārneses pasākumi, kas aptver starpnozaru projektā iesaistīto uzņēmumu nozares. Tiks izvērtētas iespējas dalībai ārvalstu konferencēs, veicinot starptautisku sadarbību un efektīvu zināšanu pārnesi. </w:t>
      </w:r>
    </w:p>
    <w:p w14:paraId="3A7580C3" w14:textId="7FCD0284" w:rsidR="00FE1976" w:rsidRPr="00810B5B" w:rsidRDefault="00FE1976" w:rsidP="00A912A1">
      <w:pPr>
        <w:pStyle w:val="Heading2"/>
      </w:pPr>
      <w:bookmarkStart w:id="130" w:name="_Toc529806206"/>
      <w:bookmarkStart w:id="131" w:name="_Toc530035117"/>
      <w:bookmarkStart w:id="132" w:name="_Toc119072246"/>
      <w:r w:rsidRPr="00246383">
        <w:t>Starpnozaru projektu ietvari</w:t>
      </w:r>
      <w:bookmarkEnd w:id="130"/>
      <w:bookmarkEnd w:id="131"/>
      <w:bookmarkEnd w:id="132"/>
    </w:p>
    <w:p w14:paraId="48D9991F" w14:textId="77777777" w:rsidR="00FE1976" w:rsidRDefault="00FE1976" w:rsidP="00FE1976">
      <w:r>
        <w:t xml:space="preserve">Īstenojot starpnozaru sadarbības projektus, tiek paredzēti šādi iespējamie ietvari: </w:t>
      </w:r>
    </w:p>
    <w:p w14:paraId="5ED423C2" w14:textId="77777777" w:rsidR="00FE1976" w:rsidRPr="00576590" w:rsidRDefault="00FE1976" w:rsidP="006F31C1">
      <w:pPr>
        <w:pStyle w:val="ListParagraph"/>
        <w:numPr>
          <w:ilvl w:val="0"/>
          <w:numId w:val="46"/>
        </w:numPr>
        <w:shd w:val="clear" w:color="auto" w:fill="auto"/>
        <w:spacing w:before="200" w:after="160" w:line="259" w:lineRule="auto"/>
        <w:rPr>
          <w:b/>
        </w:rPr>
      </w:pPr>
      <w:r w:rsidRPr="00576590">
        <w:rPr>
          <w:b/>
        </w:rPr>
        <w:t>Saimnieciskās darbības veicēji var būt kā sadarbības partneri</w:t>
      </w:r>
      <w:r>
        <w:rPr>
          <w:b/>
        </w:rPr>
        <w:t xml:space="preserve">, </w:t>
      </w:r>
      <w:r>
        <w:t>nodrošinot efektīvu sadarbību, dodot ieguldījumu pētījuma īstenošanā un dalot riskus, rezultātus un intelektuālo īpašumu. Starp partneriem tiek noslēgta vienošanās par sadarbības nosacījumiem, saskaņā ar spēkā esošu LR likumdošanu un normatīvajiem aktiem.</w:t>
      </w:r>
    </w:p>
    <w:p w14:paraId="0B6CC017" w14:textId="77777777" w:rsidR="00FE1976" w:rsidRPr="007B08DB" w:rsidRDefault="00FE1976" w:rsidP="006F31C1">
      <w:pPr>
        <w:pStyle w:val="ListParagraph"/>
        <w:numPr>
          <w:ilvl w:val="0"/>
          <w:numId w:val="46"/>
        </w:numPr>
        <w:shd w:val="clear" w:color="auto" w:fill="auto"/>
        <w:spacing w:before="200" w:after="160" w:line="259" w:lineRule="auto"/>
        <w:rPr>
          <w:b/>
        </w:rPr>
      </w:pPr>
      <w:r w:rsidRPr="007B08DB">
        <w:rPr>
          <w:b/>
        </w:rPr>
        <w:lastRenderedPageBreak/>
        <w:t>Saimnieciskās darbības iepirkumu procedūras rezultātā īstenotā starpnozaru sadarbība</w:t>
      </w:r>
      <w:r>
        <w:rPr>
          <w:b/>
        </w:rPr>
        <w:t xml:space="preserve">, </w:t>
      </w:r>
      <w:r>
        <w:t xml:space="preserve">paredzot to, ka saimnieciskās darbības veicēji var veikt iepirkuma procedūru pirms pētniecības pieteikuma iesniegšanas Kompetences centram, noslēdzot līgumu starp komersantiem pēc pētījuma pieteikuma iesniegšanas Kompetences centram. Iepirkuma gadījumā intelektuālais īpašums var piederēt vienam saimnieciskās darbības veicējam. Saimnieciskās darbības veicēji var nepiemērot iepirkuma procedūru atbilstoši Publiskā iepirkuma likumā minētajiem izņēmuma gadījumiem. </w:t>
      </w:r>
    </w:p>
    <w:p w14:paraId="6611FA6F" w14:textId="77777777" w:rsidR="00FE1976" w:rsidRPr="007B08DB" w:rsidRDefault="00FE1976" w:rsidP="006F31C1">
      <w:pPr>
        <w:pStyle w:val="ListParagraph"/>
        <w:numPr>
          <w:ilvl w:val="0"/>
          <w:numId w:val="46"/>
        </w:numPr>
        <w:shd w:val="clear" w:color="auto" w:fill="auto"/>
        <w:spacing w:before="200" w:after="160" w:line="259" w:lineRule="auto"/>
        <w:rPr>
          <w:b/>
        </w:rPr>
      </w:pPr>
      <w:r w:rsidRPr="007B08DB">
        <w:rPr>
          <w:b/>
        </w:rPr>
        <w:t>Starpnozaru sadarbība uz nodomu protokola pamata</w:t>
      </w:r>
      <w:r>
        <w:rPr>
          <w:b/>
        </w:rPr>
        <w:t xml:space="preserve">, </w:t>
      </w:r>
      <w:r>
        <w:t xml:space="preserve">kurā pētījuma aktivitātes tiek segtas no pētniecības iesniedzēja puses, kur sadarbības partneris finansējumu nesaņem, bet izskata nākotnes sadarbības iespējas vai bezatlīdzības ceļā piedāvā pētījuma īstenotājam izmantot komersanta īpašumā esošās iekārtas, tehnoloģiju un zināšanas vai speciālistus. </w:t>
      </w:r>
    </w:p>
    <w:p w14:paraId="28216C09" w14:textId="77777777" w:rsidR="00FE1976" w:rsidRPr="00A75CDA" w:rsidRDefault="00FE1976" w:rsidP="00FE1976">
      <w:pPr>
        <w:spacing w:before="0" w:after="200" w:line="276" w:lineRule="auto"/>
      </w:pPr>
    </w:p>
    <w:p w14:paraId="36E457A7" w14:textId="3ACEAE2A" w:rsidR="004A78A9" w:rsidRDefault="004A78A9" w:rsidP="004A78A9"/>
    <w:p w14:paraId="71037C1B" w14:textId="39D32CE6" w:rsidR="004A78A9" w:rsidRDefault="004A78A9" w:rsidP="00A912A1">
      <w:pPr>
        <w:pStyle w:val="Heading1"/>
      </w:pPr>
      <w:bookmarkStart w:id="133" w:name="_Toc119072247"/>
      <w:r>
        <w:lastRenderedPageBreak/>
        <w:t>Pielikums: Pētnieciskajām organizācijām pieejamais inventārs</w:t>
      </w:r>
      <w:bookmarkEnd w:id="133"/>
    </w:p>
    <w:p w14:paraId="393C39BD" w14:textId="72FAAAD8" w:rsidR="00FE1976" w:rsidRDefault="00FE1976" w:rsidP="00FE1976">
      <w:pPr>
        <w:pStyle w:val="Caption"/>
      </w:pPr>
      <w:bookmarkStart w:id="134" w:name="_Ref451164153"/>
      <w:r>
        <w:t xml:space="preserve">Tabula </w:t>
      </w:r>
      <w:r>
        <w:rPr>
          <w:noProof/>
        </w:rPr>
        <w:fldChar w:fldCharType="begin"/>
      </w:r>
      <w:r>
        <w:rPr>
          <w:noProof/>
        </w:rPr>
        <w:instrText xml:space="preserve"> SEQ Tabula \* ARABIC </w:instrText>
      </w:r>
      <w:r>
        <w:rPr>
          <w:noProof/>
        </w:rPr>
        <w:fldChar w:fldCharType="separate"/>
      </w:r>
      <w:r w:rsidR="0066799B">
        <w:rPr>
          <w:noProof/>
        </w:rPr>
        <w:t>5</w:t>
      </w:r>
      <w:r>
        <w:rPr>
          <w:noProof/>
        </w:rPr>
        <w:fldChar w:fldCharType="end"/>
      </w:r>
      <w:r>
        <w:t>. Sadarbības partneriem pieejamā infrastruktūra</w:t>
      </w:r>
      <w:bookmarkEnd w:id="134"/>
      <w:r>
        <w:t xml:space="preserve"> (pēc 2. kārtas pieteikumā esošās informācijas)</w:t>
      </w:r>
    </w:p>
    <w:tbl>
      <w:tblPr>
        <w:tblStyle w:val="PlainTable3"/>
        <w:tblW w:w="0" w:type="auto"/>
        <w:tblLook w:val="04A0" w:firstRow="1" w:lastRow="0" w:firstColumn="1" w:lastColumn="0" w:noHBand="0" w:noVBand="1"/>
      </w:tblPr>
      <w:tblGrid>
        <w:gridCol w:w="1838"/>
        <w:gridCol w:w="6458"/>
      </w:tblGrid>
      <w:tr w:rsidR="00FE1976" w:rsidRPr="00446E1C" w14:paraId="1FA91817" w14:textId="77777777" w:rsidTr="00FE1976">
        <w:trPr>
          <w:cnfStyle w:val="100000000000" w:firstRow="1" w:lastRow="0" w:firstColumn="0" w:lastColumn="0" w:oddVBand="0" w:evenVBand="0" w:oddHBand="0" w:evenHBand="0" w:firstRowFirstColumn="0" w:firstRowLastColumn="0" w:lastRowFirstColumn="0" w:lastRowLastColumn="0"/>
          <w:trHeight w:val="639"/>
        </w:trPr>
        <w:tc>
          <w:tcPr>
            <w:cnfStyle w:val="001000000100" w:firstRow="0" w:lastRow="0" w:firstColumn="1" w:lastColumn="0" w:oddVBand="0" w:evenVBand="0" w:oddHBand="0" w:evenHBand="0" w:firstRowFirstColumn="1" w:firstRowLastColumn="0" w:lastRowFirstColumn="0" w:lastRowLastColumn="0"/>
            <w:tcW w:w="1838" w:type="dxa"/>
          </w:tcPr>
          <w:p w14:paraId="567FD55C" w14:textId="77777777" w:rsidR="00FE1976" w:rsidRPr="00446E1C" w:rsidRDefault="00FE1976" w:rsidP="00FE1976">
            <w:pPr>
              <w:rPr>
                <w:rFonts w:cstheme="minorHAnsi"/>
              </w:rPr>
            </w:pPr>
            <w:r w:rsidRPr="00446E1C">
              <w:rPr>
                <w:rFonts w:cstheme="minorHAnsi"/>
              </w:rPr>
              <w:t>Sadarbības partneri</w:t>
            </w:r>
          </w:p>
        </w:tc>
        <w:tc>
          <w:tcPr>
            <w:tcW w:w="6458" w:type="dxa"/>
          </w:tcPr>
          <w:p w14:paraId="01291220" w14:textId="77777777" w:rsidR="00FE1976" w:rsidRPr="00446E1C" w:rsidRDefault="00FE1976" w:rsidP="00FE1976">
            <w:pPr>
              <w:cnfStyle w:val="100000000000" w:firstRow="1" w:lastRow="0" w:firstColumn="0" w:lastColumn="0" w:oddVBand="0" w:evenVBand="0" w:oddHBand="0" w:evenHBand="0" w:firstRowFirstColumn="0" w:firstRowLastColumn="0" w:lastRowFirstColumn="0" w:lastRowLastColumn="0"/>
              <w:rPr>
                <w:rFonts w:cstheme="minorHAnsi"/>
                <w:i/>
              </w:rPr>
            </w:pPr>
            <w:r w:rsidRPr="00446E1C">
              <w:rPr>
                <w:rFonts w:cstheme="minorHAnsi"/>
                <w:i/>
              </w:rPr>
              <w:t>Pieejamā infrastruktūra</w:t>
            </w:r>
          </w:p>
        </w:tc>
      </w:tr>
      <w:tr w:rsidR="00FE1976" w:rsidRPr="00446E1C" w14:paraId="778A9902" w14:textId="77777777" w:rsidTr="00FE1976">
        <w:trPr>
          <w:cnfStyle w:val="000000100000" w:firstRow="0" w:lastRow="0" w:firstColumn="0" w:lastColumn="0" w:oddVBand="0" w:evenVBand="0" w:oddHBand="1" w:evenHBand="0" w:firstRowFirstColumn="0" w:firstRowLastColumn="0" w:lastRowFirstColumn="0" w:lastRowLastColumn="0"/>
          <w:trHeight w:val="3799"/>
        </w:trPr>
        <w:tc>
          <w:tcPr>
            <w:cnfStyle w:val="001000000000" w:firstRow="0" w:lastRow="0" w:firstColumn="1" w:lastColumn="0" w:oddVBand="0" w:evenVBand="0" w:oddHBand="0" w:evenHBand="0" w:firstRowFirstColumn="0" w:firstRowLastColumn="0" w:lastRowFirstColumn="0" w:lastRowLastColumn="0"/>
            <w:tcW w:w="1838" w:type="dxa"/>
          </w:tcPr>
          <w:p w14:paraId="350DE241" w14:textId="77777777" w:rsidR="00FE1976" w:rsidRPr="00446E1C" w:rsidRDefault="00FE1976" w:rsidP="00FE1976">
            <w:pPr>
              <w:rPr>
                <w:rFonts w:cstheme="minorHAnsi"/>
              </w:rPr>
            </w:pPr>
            <w:r w:rsidRPr="00446E1C">
              <w:rPr>
                <w:rFonts w:cstheme="minorHAnsi"/>
              </w:rPr>
              <w:t>Grindeks</w:t>
            </w:r>
          </w:p>
        </w:tc>
        <w:tc>
          <w:tcPr>
            <w:tcW w:w="6458" w:type="dxa"/>
          </w:tcPr>
          <w:p w14:paraId="70ADA9EB" w14:textId="77777777" w:rsidR="00FE1976" w:rsidRPr="00446E1C" w:rsidRDefault="00FE1976" w:rsidP="00FE1976">
            <w:pPr>
              <w:cnfStyle w:val="000000100000" w:firstRow="0" w:lastRow="0" w:firstColumn="0" w:lastColumn="0" w:oddVBand="0" w:evenVBand="0" w:oddHBand="1" w:evenHBand="0" w:firstRowFirstColumn="0" w:firstRowLastColumn="0" w:lastRowFirstColumn="0" w:lastRowLastColumn="0"/>
              <w:rPr>
                <w:rFonts w:cstheme="minorHAnsi"/>
                <w:b/>
                <w:i/>
              </w:rPr>
            </w:pPr>
            <w:r w:rsidRPr="00446E1C">
              <w:rPr>
                <w:rFonts w:cstheme="minorHAnsi"/>
                <w:b/>
                <w:i/>
              </w:rPr>
              <w:t>Pētniecības laboratorijas</w:t>
            </w:r>
          </w:p>
          <w:p w14:paraId="515C9DCF" w14:textId="77777777" w:rsidR="00FE1976" w:rsidRPr="00446E1C" w:rsidRDefault="00FE1976" w:rsidP="006F31C1">
            <w:pPr>
              <w:pStyle w:val="ListParagraph"/>
              <w:keepLines w:val="0"/>
              <w:numPr>
                <w:ilvl w:val="0"/>
                <w:numId w:val="23"/>
              </w:numPr>
              <w:shd w:val="clear" w:color="auto" w:fill="auto"/>
              <w:spacing w:before="0" w:after="0"/>
              <w:jc w:val="left"/>
              <w:cnfStyle w:val="000000100000" w:firstRow="0" w:lastRow="0" w:firstColumn="0" w:lastColumn="0" w:oddVBand="0" w:evenVBand="0" w:oddHBand="1" w:evenHBand="0" w:firstRowFirstColumn="0" w:firstRowLastColumn="0" w:lastRowFirstColumn="0" w:lastRowLastColumn="0"/>
              <w:rPr>
                <w:rFonts w:cstheme="minorHAnsi"/>
              </w:rPr>
            </w:pPr>
            <w:r w:rsidRPr="00446E1C">
              <w:rPr>
                <w:rFonts w:cstheme="minorHAnsi"/>
              </w:rPr>
              <w:t xml:space="preserve">Aktīvo farmaceitisko vielu (AFV) laboratorija </w:t>
            </w:r>
          </w:p>
          <w:p w14:paraId="691EF2FA" w14:textId="77777777" w:rsidR="00FE1976" w:rsidRPr="00446E1C" w:rsidRDefault="00FE1976" w:rsidP="006F31C1">
            <w:pPr>
              <w:pStyle w:val="ListParagraph"/>
              <w:keepLines w:val="0"/>
              <w:numPr>
                <w:ilvl w:val="0"/>
                <w:numId w:val="23"/>
              </w:numPr>
              <w:shd w:val="clear" w:color="auto" w:fill="auto"/>
              <w:spacing w:before="0" w:after="0"/>
              <w:jc w:val="left"/>
              <w:cnfStyle w:val="000000100000" w:firstRow="0" w:lastRow="0" w:firstColumn="0" w:lastColumn="0" w:oddVBand="0" w:evenVBand="0" w:oddHBand="1" w:evenHBand="0" w:firstRowFirstColumn="0" w:firstRowLastColumn="0" w:lastRowFirstColumn="0" w:lastRowLastColumn="0"/>
              <w:rPr>
                <w:rFonts w:cstheme="minorHAnsi"/>
              </w:rPr>
            </w:pPr>
            <w:r w:rsidRPr="00446E1C">
              <w:rPr>
                <w:rFonts w:cstheme="minorHAnsi"/>
              </w:rPr>
              <w:t>Gatavu zāļu formu (GFV) izstrādes laboratorijas</w:t>
            </w:r>
          </w:p>
          <w:p w14:paraId="635C466C" w14:textId="77777777" w:rsidR="00FE1976" w:rsidRPr="00446E1C" w:rsidRDefault="00FE1976" w:rsidP="006F31C1">
            <w:pPr>
              <w:pStyle w:val="ListParagraph"/>
              <w:keepLines w:val="0"/>
              <w:numPr>
                <w:ilvl w:val="0"/>
                <w:numId w:val="23"/>
              </w:numPr>
              <w:shd w:val="clear" w:color="auto" w:fill="auto"/>
              <w:spacing w:before="0" w:after="0"/>
              <w:jc w:val="left"/>
              <w:cnfStyle w:val="000000100000" w:firstRow="0" w:lastRow="0" w:firstColumn="0" w:lastColumn="0" w:oddVBand="0" w:evenVBand="0" w:oddHBand="1" w:evenHBand="0" w:firstRowFirstColumn="0" w:firstRowLastColumn="0" w:lastRowFirstColumn="0" w:lastRowLastColumn="0"/>
              <w:rPr>
                <w:rFonts w:cstheme="minorHAnsi"/>
              </w:rPr>
            </w:pPr>
            <w:r w:rsidRPr="00446E1C">
              <w:rPr>
                <w:rFonts w:cstheme="minorHAnsi"/>
              </w:rPr>
              <w:t>AFV Analītiskās mērogošanas laboratorija</w:t>
            </w:r>
          </w:p>
          <w:p w14:paraId="660682C3" w14:textId="77777777" w:rsidR="00FE1976" w:rsidRPr="00446E1C" w:rsidRDefault="00FE1976" w:rsidP="006F31C1">
            <w:pPr>
              <w:pStyle w:val="ListParagraph"/>
              <w:keepLines w:val="0"/>
              <w:numPr>
                <w:ilvl w:val="0"/>
                <w:numId w:val="23"/>
              </w:numPr>
              <w:shd w:val="clear" w:color="auto" w:fill="auto"/>
              <w:spacing w:before="0" w:after="0"/>
              <w:jc w:val="left"/>
              <w:cnfStyle w:val="000000100000" w:firstRow="0" w:lastRow="0" w:firstColumn="0" w:lastColumn="0" w:oddVBand="0" w:evenVBand="0" w:oddHBand="1" w:evenHBand="0" w:firstRowFirstColumn="0" w:firstRowLastColumn="0" w:lastRowFirstColumn="0" w:lastRowLastColumn="0"/>
              <w:rPr>
                <w:rFonts w:cstheme="minorHAnsi"/>
              </w:rPr>
            </w:pPr>
            <w:r w:rsidRPr="00446E1C">
              <w:rPr>
                <w:rFonts w:cstheme="minorHAnsi"/>
              </w:rPr>
              <w:t>AFV un GZF Standartizācijas laboratorijas</w:t>
            </w:r>
          </w:p>
          <w:p w14:paraId="22D35167" w14:textId="77777777" w:rsidR="00FE1976" w:rsidRPr="00446E1C" w:rsidRDefault="00FE1976" w:rsidP="006F31C1">
            <w:pPr>
              <w:pStyle w:val="ListParagraph"/>
              <w:keepLines w:val="0"/>
              <w:numPr>
                <w:ilvl w:val="0"/>
                <w:numId w:val="23"/>
              </w:numPr>
              <w:shd w:val="clear" w:color="auto" w:fill="auto"/>
              <w:spacing w:before="0" w:after="0"/>
              <w:jc w:val="left"/>
              <w:cnfStyle w:val="000000100000" w:firstRow="0" w:lastRow="0" w:firstColumn="0" w:lastColumn="0" w:oddVBand="0" w:evenVBand="0" w:oddHBand="1" w:evenHBand="0" w:firstRowFirstColumn="0" w:firstRowLastColumn="0" w:lastRowFirstColumn="0" w:lastRowLastColumn="0"/>
              <w:rPr>
                <w:rFonts w:cstheme="minorHAnsi"/>
              </w:rPr>
            </w:pPr>
            <w:r w:rsidRPr="00446E1C">
              <w:rPr>
                <w:rFonts w:cstheme="minorHAnsi"/>
              </w:rPr>
              <w:t>Kvalitātes kontroles laboratorija</w:t>
            </w:r>
          </w:p>
          <w:p w14:paraId="1FE698BD" w14:textId="77777777" w:rsidR="00FE1976" w:rsidRPr="00446E1C" w:rsidRDefault="00FE1976" w:rsidP="00FE1976">
            <w:pPr>
              <w:cnfStyle w:val="000000100000" w:firstRow="0" w:lastRow="0" w:firstColumn="0" w:lastColumn="0" w:oddVBand="0" w:evenVBand="0" w:oddHBand="1" w:evenHBand="0" w:firstRowFirstColumn="0" w:firstRowLastColumn="0" w:lastRowFirstColumn="0" w:lastRowLastColumn="0"/>
              <w:rPr>
                <w:rFonts w:cstheme="minorHAnsi"/>
                <w:b/>
                <w:i/>
              </w:rPr>
            </w:pPr>
            <w:r w:rsidRPr="00446E1C">
              <w:rPr>
                <w:rFonts w:cstheme="minorHAnsi"/>
                <w:b/>
                <w:i/>
              </w:rPr>
              <w:t>P&amp;A personāls</w:t>
            </w:r>
          </w:p>
          <w:p w14:paraId="6C7E469A" w14:textId="77777777" w:rsidR="00FE1976" w:rsidRPr="00446E1C" w:rsidRDefault="00FE1976" w:rsidP="00FE1976">
            <w:pPr>
              <w:cnfStyle w:val="000000100000" w:firstRow="0" w:lastRow="0" w:firstColumn="0" w:lastColumn="0" w:oddVBand="0" w:evenVBand="0" w:oddHBand="1" w:evenHBand="0" w:firstRowFirstColumn="0" w:firstRowLastColumn="0" w:lastRowFirstColumn="0" w:lastRowLastColumn="0"/>
              <w:rPr>
                <w:rFonts w:cstheme="minorHAnsi"/>
              </w:rPr>
            </w:pPr>
            <w:r w:rsidRPr="00446E1C">
              <w:rPr>
                <w:rFonts w:cstheme="minorHAnsi"/>
              </w:rPr>
              <w:t>Aptuveni 70 speciālisti, no kuriem</w:t>
            </w:r>
          </w:p>
          <w:p w14:paraId="436767C6" w14:textId="77777777" w:rsidR="00FE1976" w:rsidRPr="00446E1C" w:rsidRDefault="00FE1976" w:rsidP="00FE1976">
            <w:pPr>
              <w:cnfStyle w:val="000000100000" w:firstRow="0" w:lastRow="0" w:firstColumn="0" w:lastColumn="0" w:oddVBand="0" w:evenVBand="0" w:oddHBand="1" w:evenHBand="0" w:firstRowFirstColumn="0" w:firstRowLastColumn="0" w:lastRowFirstColumn="0" w:lastRowLastColumn="0"/>
              <w:rPr>
                <w:rFonts w:cstheme="minorHAnsi"/>
              </w:rPr>
            </w:pPr>
            <w:r w:rsidRPr="00446E1C">
              <w:rPr>
                <w:rFonts w:cstheme="minorHAnsi"/>
              </w:rPr>
              <w:t>Vadošie pētnieki ar augstākā maģistra/ 2. pakāpes profesionālo izglītību farmācijas vai medicīnas jomā, vismaz 5 gadu pieredzi klīnisko pētījumu organizēšanā, veikšanā vai monitorēšanā, ar labas kvalitātes prakses sertifikātu vai līdzvērtīgu dokumentu.</w:t>
            </w:r>
          </w:p>
          <w:p w14:paraId="7104EB12" w14:textId="77777777" w:rsidR="00FE1976" w:rsidRPr="00446E1C" w:rsidRDefault="00FE1976" w:rsidP="00FE1976">
            <w:pPr>
              <w:cnfStyle w:val="000000100000" w:firstRow="0" w:lastRow="0" w:firstColumn="0" w:lastColumn="0" w:oddVBand="0" w:evenVBand="0" w:oddHBand="1" w:evenHBand="0" w:firstRowFirstColumn="0" w:firstRowLastColumn="0" w:lastRowFirstColumn="0" w:lastRowLastColumn="0"/>
              <w:rPr>
                <w:rFonts w:cstheme="minorHAnsi"/>
              </w:rPr>
            </w:pPr>
            <w:r w:rsidRPr="00446E1C">
              <w:rPr>
                <w:rFonts w:cstheme="minorHAnsi"/>
              </w:rPr>
              <w:t>Kvalificēti pētnieki ar augstāko izglītību medicīnas/ farmācijas jomā</w:t>
            </w:r>
          </w:p>
          <w:p w14:paraId="64BB1111" w14:textId="77777777" w:rsidR="00FE1976" w:rsidRPr="00446E1C" w:rsidRDefault="00FE1976" w:rsidP="00FE1976">
            <w:pPr>
              <w:cnfStyle w:val="000000100000" w:firstRow="0" w:lastRow="0" w:firstColumn="0" w:lastColumn="0" w:oddVBand="0" w:evenVBand="0" w:oddHBand="1" w:evenHBand="0" w:firstRowFirstColumn="0" w:firstRowLastColumn="0" w:lastRowFirstColumn="0" w:lastRowLastColumn="0"/>
              <w:rPr>
                <w:rFonts w:cstheme="minorHAnsi"/>
              </w:rPr>
            </w:pPr>
          </w:p>
        </w:tc>
      </w:tr>
      <w:tr w:rsidR="00FE1976" w:rsidRPr="00446E1C" w14:paraId="052BFF91" w14:textId="77777777" w:rsidTr="00FE1976">
        <w:tc>
          <w:tcPr>
            <w:cnfStyle w:val="001000000000" w:firstRow="0" w:lastRow="0" w:firstColumn="1" w:lastColumn="0" w:oddVBand="0" w:evenVBand="0" w:oddHBand="0" w:evenHBand="0" w:firstRowFirstColumn="0" w:firstRowLastColumn="0" w:lastRowFirstColumn="0" w:lastRowLastColumn="0"/>
            <w:tcW w:w="1838" w:type="dxa"/>
          </w:tcPr>
          <w:p w14:paraId="1B1CC7C8" w14:textId="77777777" w:rsidR="00FE1976" w:rsidRPr="00446E1C" w:rsidRDefault="00FE1976" w:rsidP="00FE1976">
            <w:pPr>
              <w:rPr>
                <w:rFonts w:cstheme="minorHAnsi"/>
              </w:rPr>
            </w:pPr>
            <w:r w:rsidRPr="00446E1C">
              <w:rPr>
                <w:rFonts w:cstheme="minorHAnsi"/>
              </w:rPr>
              <w:t>Olainfarm</w:t>
            </w:r>
          </w:p>
        </w:tc>
        <w:tc>
          <w:tcPr>
            <w:tcW w:w="6458" w:type="dxa"/>
          </w:tcPr>
          <w:p w14:paraId="3A29066B" w14:textId="77777777" w:rsidR="00FE1976" w:rsidRPr="00446E1C" w:rsidRDefault="00FE1976" w:rsidP="00FE1976">
            <w:pPr>
              <w:cnfStyle w:val="000000000000" w:firstRow="0" w:lastRow="0" w:firstColumn="0" w:lastColumn="0" w:oddVBand="0" w:evenVBand="0" w:oddHBand="0" w:evenHBand="0" w:firstRowFirstColumn="0" w:firstRowLastColumn="0" w:lastRowFirstColumn="0" w:lastRowLastColumn="0"/>
              <w:rPr>
                <w:rFonts w:cstheme="minorHAnsi"/>
                <w:b/>
                <w:i/>
              </w:rPr>
            </w:pPr>
            <w:r w:rsidRPr="00446E1C">
              <w:rPr>
                <w:rFonts w:cstheme="minorHAnsi"/>
                <w:b/>
                <w:i/>
              </w:rPr>
              <w:t>Pētniecības infrastruktūra</w:t>
            </w:r>
          </w:p>
          <w:p w14:paraId="52E80AA4" w14:textId="77777777" w:rsidR="00FE1976" w:rsidRPr="00446E1C" w:rsidRDefault="00FE1976" w:rsidP="00FE1976">
            <w:pPr>
              <w:cnfStyle w:val="000000000000" w:firstRow="0" w:lastRow="0" w:firstColumn="0" w:lastColumn="0" w:oddVBand="0" w:evenVBand="0" w:oddHBand="0" w:evenHBand="0" w:firstRowFirstColumn="0" w:firstRowLastColumn="0" w:lastRowFirstColumn="0" w:lastRowLastColumn="0"/>
              <w:rPr>
                <w:rFonts w:cstheme="minorHAnsi"/>
              </w:rPr>
            </w:pPr>
            <w:r w:rsidRPr="00446E1C">
              <w:rPr>
                <w:rFonts w:cstheme="minorHAnsi"/>
              </w:rPr>
              <w:t xml:space="preserve">Uzņēmuma ir pieejamas </w:t>
            </w:r>
          </w:p>
          <w:p w14:paraId="2AED1244" w14:textId="77777777" w:rsidR="00FE1976" w:rsidRPr="00446E1C" w:rsidRDefault="00FE1976" w:rsidP="006F31C1">
            <w:pPr>
              <w:pStyle w:val="ListParagraph"/>
              <w:keepLines w:val="0"/>
              <w:numPr>
                <w:ilvl w:val="0"/>
                <w:numId w:val="23"/>
              </w:numPr>
              <w:shd w:val="clear" w:color="auto" w:fill="auto"/>
              <w:spacing w:before="0" w:after="0"/>
              <w:jc w:val="left"/>
              <w:cnfStyle w:val="000000000000" w:firstRow="0" w:lastRow="0" w:firstColumn="0" w:lastColumn="0" w:oddVBand="0" w:evenVBand="0" w:oddHBand="0" w:evenHBand="0" w:firstRowFirstColumn="0" w:firstRowLastColumn="0" w:lastRowFirstColumn="0" w:lastRowLastColumn="0"/>
              <w:rPr>
                <w:rFonts w:cstheme="minorHAnsi"/>
              </w:rPr>
            </w:pPr>
            <w:r w:rsidRPr="00446E1C">
              <w:rPr>
                <w:rFonts w:cstheme="minorHAnsi"/>
              </w:rPr>
              <w:t xml:space="preserve">Aktīvo farmaceitisko vielu (AFV) laboratorijas </w:t>
            </w:r>
          </w:p>
          <w:p w14:paraId="63E288A0" w14:textId="77777777" w:rsidR="00FE1976" w:rsidRPr="00446E1C" w:rsidRDefault="00FE1976" w:rsidP="006F31C1">
            <w:pPr>
              <w:pStyle w:val="ListParagraph"/>
              <w:keepLines w:val="0"/>
              <w:numPr>
                <w:ilvl w:val="0"/>
                <w:numId w:val="23"/>
              </w:numPr>
              <w:shd w:val="clear" w:color="auto" w:fill="auto"/>
              <w:spacing w:before="0" w:after="0"/>
              <w:jc w:val="left"/>
              <w:cnfStyle w:val="000000000000" w:firstRow="0" w:lastRow="0" w:firstColumn="0" w:lastColumn="0" w:oddVBand="0" w:evenVBand="0" w:oddHBand="0" w:evenHBand="0" w:firstRowFirstColumn="0" w:firstRowLastColumn="0" w:lastRowFirstColumn="0" w:lastRowLastColumn="0"/>
              <w:rPr>
                <w:rFonts w:cstheme="minorHAnsi"/>
              </w:rPr>
            </w:pPr>
            <w:r w:rsidRPr="00446E1C">
              <w:rPr>
                <w:rFonts w:cstheme="minorHAnsi"/>
              </w:rPr>
              <w:t>Gatavo zāļu formu pētniecības laboratorijas</w:t>
            </w:r>
          </w:p>
          <w:p w14:paraId="04A05EBC" w14:textId="77777777" w:rsidR="00FE1976" w:rsidRPr="00446E1C" w:rsidRDefault="00FE1976" w:rsidP="006F31C1">
            <w:pPr>
              <w:pStyle w:val="ListParagraph"/>
              <w:keepLines w:val="0"/>
              <w:numPr>
                <w:ilvl w:val="0"/>
                <w:numId w:val="23"/>
              </w:numPr>
              <w:shd w:val="clear" w:color="auto" w:fill="auto"/>
              <w:spacing w:before="0" w:after="0"/>
              <w:jc w:val="left"/>
              <w:cnfStyle w:val="000000000000" w:firstRow="0" w:lastRow="0" w:firstColumn="0" w:lastColumn="0" w:oddVBand="0" w:evenVBand="0" w:oddHBand="0" w:evenHBand="0" w:firstRowFirstColumn="0" w:firstRowLastColumn="0" w:lastRowFirstColumn="0" w:lastRowLastColumn="0"/>
              <w:rPr>
                <w:rFonts w:cstheme="minorHAnsi"/>
              </w:rPr>
            </w:pPr>
            <w:r w:rsidRPr="00446E1C">
              <w:rPr>
                <w:rFonts w:cstheme="minorHAnsi"/>
              </w:rPr>
              <w:t>Preklīnisko pētījumu infrastruktūra</w:t>
            </w:r>
          </w:p>
          <w:p w14:paraId="175F0866" w14:textId="77777777" w:rsidR="00FE1976" w:rsidRPr="00446E1C" w:rsidRDefault="00FE1976" w:rsidP="006F31C1">
            <w:pPr>
              <w:pStyle w:val="ListParagraph"/>
              <w:keepLines w:val="0"/>
              <w:numPr>
                <w:ilvl w:val="0"/>
                <w:numId w:val="23"/>
              </w:numPr>
              <w:shd w:val="clear" w:color="auto" w:fill="auto"/>
              <w:spacing w:before="0" w:after="0"/>
              <w:jc w:val="left"/>
              <w:cnfStyle w:val="000000000000" w:firstRow="0" w:lastRow="0" w:firstColumn="0" w:lastColumn="0" w:oddVBand="0" w:evenVBand="0" w:oddHBand="0" w:evenHBand="0" w:firstRowFirstColumn="0" w:firstRowLastColumn="0" w:lastRowFirstColumn="0" w:lastRowLastColumn="0"/>
              <w:rPr>
                <w:rFonts w:cstheme="minorHAnsi"/>
              </w:rPr>
            </w:pPr>
            <w:r w:rsidRPr="00446E1C">
              <w:rPr>
                <w:rFonts w:cstheme="minorHAnsi"/>
              </w:rPr>
              <w:t>Klīnisko pētījumu infrastruktūra</w:t>
            </w:r>
          </w:p>
          <w:p w14:paraId="33D1EA14" w14:textId="77777777" w:rsidR="00FE1976" w:rsidRPr="00446E1C" w:rsidRDefault="00FE1976" w:rsidP="00FE1976">
            <w:pPr>
              <w:cnfStyle w:val="000000000000" w:firstRow="0" w:lastRow="0" w:firstColumn="0" w:lastColumn="0" w:oddVBand="0" w:evenVBand="0" w:oddHBand="0" w:evenHBand="0" w:firstRowFirstColumn="0" w:firstRowLastColumn="0" w:lastRowFirstColumn="0" w:lastRowLastColumn="0"/>
              <w:rPr>
                <w:rFonts w:cstheme="minorHAnsi"/>
                <w:b/>
                <w:i/>
              </w:rPr>
            </w:pPr>
            <w:r w:rsidRPr="00446E1C">
              <w:rPr>
                <w:rFonts w:cstheme="minorHAnsi"/>
                <w:b/>
                <w:i/>
              </w:rPr>
              <w:t>P&amp;A personāls</w:t>
            </w:r>
          </w:p>
          <w:p w14:paraId="170DBD83" w14:textId="77777777" w:rsidR="00FE1976" w:rsidRPr="00446E1C" w:rsidRDefault="00FE1976" w:rsidP="00FE1976">
            <w:pPr>
              <w:cnfStyle w:val="000000000000" w:firstRow="0" w:lastRow="0" w:firstColumn="0" w:lastColumn="0" w:oddVBand="0" w:evenVBand="0" w:oddHBand="0" w:evenHBand="0" w:firstRowFirstColumn="0" w:firstRowLastColumn="0" w:lastRowFirstColumn="0" w:lastRowLastColumn="0"/>
              <w:rPr>
                <w:rFonts w:cstheme="minorHAnsi"/>
              </w:rPr>
            </w:pPr>
            <w:r w:rsidRPr="00446E1C">
              <w:rPr>
                <w:rFonts w:cstheme="minorHAnsi"/>
              </w:rPr>
              <w:t>Projektā strādās augsti kvalificēti darbinieki ar augstāko izglītību ķīmijā (maģistra un bakalaura grāds) un darba pieredzi ražošanas uzņēmumos farmācijas un pārtikas nozarēs. Projekta dalībniekiem ir pieredze zinātnisko pētījumu veikšanu praktiski, kā arī jaunu produktu izstrādi un tehnoloģiju pārnesi no laboratorijas apstākļiem līdz ražošanai.</w:t>
            </w:r>
          </w:p>
        </w:tc>
      </w:tr>
      <w:tr w:rsidR="00FE1976" w:rsidRPr="00446E1C" w14:paraId="5C38259D" w14:textId="77777777" w:rsidTr="00FE19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03F82144" w14:textId="77777777" w:rsidR="00FE1976" w:rsidRPr="00446E1C" w:rsidRDefault="00FE1976" w:rsidP="00FE1976">
            <w:pPr>
              <w:rPr>
                <w:rFonts w:cstheme="minorHAnsi"/>
              </w:rPr>
            </w:pPr>
            <w:r w:rsidRPr="00446E1C">
              <w:rPr>
                <w:rFonts w:cstheme="minorHAnsi"/>
              </w:rPr>
              <w:t>AD Smart</w:t>
            </w:r>
          </w:p>
        </w:tc>
        <w:tc>
          <w:tcPr>
            <w:tcW w:w="6458" w:type="dxa"/>
          </w:tcPr>
          <w:p w14:paraId="6120DB08" w14:textId="77777777" w:rsidR="00FE1976" w:rsidRPr="00446E1C" w:rsidRDefault="00FE1976" w:rsidP="00FE1976">
            <w:pPr>
              <w:cnfStyle w:val="000000100000" w:firstRow="0" w:lastRow="0" w:firstColumn="0" w:lastColumn="0" w:oddVBand="0" w:evenVBand="0" w:oddHBand="1" w:evenHBand="0" w:firstRowFirstColumn="0" w:firstRowLastColumn="0" w:lastRowFirstColumn="0" w:lastRowLastColumn="0"/>
              <w:rPr>
                <w:rFonts w:cstheme="minorHAnsi"/>
                <w:b/>
                <w:i/>
              </w:rPr>
            </w:pPr>
            <w:r w:rsidRPr="00446E1C">
              <w:rPr>
                <w:rFonts w:cstheme="minorHAnsi"/>
                <w:b/>
                <w:i/>
              </w:rPr>
              <w:t>Pētniecības infrastruktūra</w:t>
            </w:r>
          </w:p>
          <w:p w14:paraId="447FBDFD" w14:textId="77777777" w:rsidR="00FE1976" w:rsidRPr="00446E1C" w:rsidRDefault="00FE1976" w:rsidP="00FE1976">
            <w:pPr>
              <w:cnfStyle w:val="000000100000" w:firstRow="0" w:lastRow="0" w:firstColumn="0" w:lastColumn="0" w:oddVBand="0" w:evenVBand="0" w:oddHBand="1" w:evenHBand="0" w:firstRowFirstColumn="0" w:firstRowLastColumn="0" w:lastRowFirstColumn="0" w:lastRowLastColumn="0"/>
              <w:rPr>
                <w:rFonts w:cstheme="minorHAnsi"/>
                <w:b/>
                <w:i/>
              </w:rPr>
            </w:pPr>
            <w:r w:rsidRPr="00446E1C">
              <w:rPr>
                <w:rFonts w:cstheme="minorHAnsi"/>
              </w:rPr>
              <w:t>Uzņēmumam ir pieejama aprīkota laboratorija.</w:t>
            </w:r>
          </w:p>
          <w:p w14:paraId="73A864F4" w14:textId="77777777" w:rsidR="00FE1976" w:rsidRPr="00446E1C" w:rsidRDefault="00FE1976" w:rsidP="00FE1976">
            <w:pPr>
              <w:cnfStyle w:val="000000100000" w:firstRow="0" w:lastRow="0" w:firstColumn="0" w:lastColumn="0" w:oddVBand="0" w:evenVBand="0" w:oddHBand="1" w:evenHBand="0" w:firstRowFirstColumn="0" w:firstRowLastColumn="0" w:lastRowFirstColumn="0" w:lastRowLastColumn="0"/>
              <w:rPr>
                <w:rFonts w:cstheme="minorHAnsi"/>
                <w:b/>
                <w:i/>
              </w:rPr>
            </w:pPr>
            <w:r w:rsidRPr="00446E1C">
              <w:rPr>
                <w:rFonts w:cstheme="minorHAnsi"/>
                <w:b/>
                <w:i/>
              </w:rPr>
              <w:t>P&amp;A personāls</w:t>
            </w:r>
          </w:p>
          <w:p w14:paraId="1E35E0E0" w14:textId="77777777" w:rsidR="00FE1976" w:rsidRPr="00446E1C" w:rsidRDefault="00FE1976" w:rsidP="00FE1976">
            <w:pPr>
              <w:cnfStyle w:val="000000100000" w:firstRow="0" w:lastRow="0" w:firstColumn="0" w:lastColumn="0" w:oddVBand="0" w:evenVBand="0" w:oddHBand="1" w:evenHBand="0" w:firstRowFirstColumn="0" w:firstRowLastColumn="0" w:lastRowFirstColumn="0" w:lastRowLastColumn="0"/>
              <w:rPr>
                <w:rFonts w:cstheme="minorHAnsi"/>
                <w:b/>
                <w:i/>
              </w:rPr>
            </w:pPr>
            <w:r w:rsidRPr="00446E1C">
              <w:rPr>
                <w:rFonts w:cstheme="minorHAnsi"/>
              </w:rPr>
              <w:t>Pētnieki ar</w:t>
            </w:r>
          </w:p>
          <w:p w14:paraId="1400AB26" w14:textId="77777777" w:rsidR="00FE1976" w:rsidRPr="00446E1C" w:rsidRDefault="00FE1976" w:rsidP="006F31C1">
            <w:pPr>
              <w:pStyle w:val="ListParagraph"/>
              <w:keepLines w:val="0"/>
              <w:numPr>
                <w:ilvl w:val="0"/>
                <w:numId w:val="24"/>
              </w:numPr>
              <w:shd w:val="clear" w:color="auto" w:fill="auto"/>
              <w:spacing w:before="0" w:after="0"/>
              <w:jc w:val="left"/>
              <w:cnfStyle w:val="000000100000" w:firstRow="0" w:lastRow="0" w:firstColumn="0" w:lastColumn="0" w:oddVBand="0" w:evenVBand="0" w:oddHBand="1" w:evenHBand="0" w:firstRowFirstColumn="0" w:firstRowLastColumn="0" w:lastRowFirstColumn="0" w:lastRowLastColumn="0"/>
              <w:rPr>
                <w:rFonts w:cstheme="minorHAnsi"/>
              </w:rPr>
            </w:pPr>
            <w:r w:rsidRPr="00446E1C">
              <w:rPr>
                <w:rFonts w:cstheme="minorHAnsi"/>
              </w:rPr>
              <w:t>Ārsta</w:t>
            </w:r>
          </w:p>
          <w:p w14:paraId="78B28600" w14:textId="77777777" w:rsidR="00FE1976" w:rsidRPr="00446E1C" w:rsidRDefault="00FE1976" w:rsidP="006F31C1">
            <w:pPr>
              <w:pStyle w:val="ListParagraph"/>
              <w:keepLines w:val="0"/>
              <w:numPr>
                <w:ilvl w:val="0"/>
                <w:numId w:val="24"/>
              </w:numPr>
              <w:shd w:val="clear" w:color="auto" w:fill="auto"/>
              <w:spacing w:before="0" w:after="0"/>
              <w:jc w:val="left"/>
              <w:cnfStyle w:val="000000100000" w:firstRow="0" w:lastRow="0" w:firstColumn="0" w:lastColumn="0" w:oddVBand="0" w:evenVBand="0" w:oddHBand="1" w:evenHBand="0" w:firstRowFirstColumn="0" w:firstRowLastColumn="0" w:lastRowFirstColumn="0" w:lastRowLastColumn="0"/>
              <w:rPr>
                <w:rFonts w:cstheme="minorHAnsi"/>
              </w:rPr>
            </w:pPr>
            <w:r w:rsidRPr="00446E1C">
              <w:rPr>
                <w:rFonts w:cstheme="minorHAnsi"/>
              </w:rPr>
              <w:t>Farmaceita</w:t>
            </w:r>
          </w:p>
          <w:p w14:paraId="73CBACDA" w14:textId="77777777" w:rsidR="00FE1976" w:rsidRPr="00446E1C" w:rsidRDefault="00FE1976" w:rsidP="006F31C1">
            <w:pPr>
              <w:pStyle w:val="ListParagraph"/>
              <w:keepLines w:val="0"/>
              <w:numPr>
                <w:ilvl w:val="0"/>
                <w:numId w:val="24"/>
              </w:numPr>
              <w:shd w:val="clear" w:color="auto" w:fill="auto"/>
              <w:spacing w:before="0" w:after="0"/>
              <w:jc w:val="left"/>
              <w:cnfStyle w:val="000000100000" w:firstRow="0" w:lastRow="0" w:firstColumn="0" w:lastColumn="0" w:oddVBand="0" w:evenVBand="0" w:oddHBand="1" w:evenHBand="0" w:firstRowFirstColumn="0" w:firstRowLastColumn="0" w:lastRowFirstColumn="0" w:lastRowLastColumn="0"/>
              <w:rPr>
                <w:rFonts w:cstheme="minorHAnsi"/>
              </w:rPr>
            </w:pPr>
            <w:r w:rsidRPr="00446E1C">
              <w:rPr>
                <w:rFonts w:cstheme="minorHAnsi"/>
              </w:rPr>
              <w:t>Ekonomista-statistiķa</w:t>
            </w:r>
          </w:p>
          <w:p w14:paraId="67B314F7" w14:textId="77777777" w:rsidR="00FE1976" w:rsidRPr="00446E1C" w:rsidRDefault="00FE1976" w:rsidP="00FE1976">
            <w:pPr>
              <w:ind w:left="360"/>
              <w:cnfStyle w:val="000000100000" w:firstRow="0" w:lastRow="0" w:firstColumn="0" w:lastColumn="0" w:oddVBand="0" w:evenVBand="0" w:oddHBand="1" w:evenHBand="0" w:firstRowFirstColumn="0" w:firstRowLastColumn="0" w:lastRowFirstColumn="0" w:lastRowLastColumn="0"/>
              <w:rPr>
                <w:rFonts w:cstheme="minorHAnsi"/>
              </w:rPr>
            </w:pPr>
            <w:r w:rsidRPr="00446E1C">
              <w:rPr>
                <w:rFonts w:cstheme="minorHAnsi"/>
              </w:rPr>
              <w:lastRenderedPageBreak/>
              <w:t>kvalifikācijām</w:t>
            </w:r>
          </w:p>
        </w:tc>
      </w:tr>
      <w:tr w:rsidR="00FE1976" w:rsidRPr="00446E1C" w14:paraId="0B1BC80D" w14:textId="77777777" w:rsidTr="00FE1976">
        <w:tc>
          <w:tcPr>
            <w:cnfStyle w:val="001000000000" w:firstRow="0" w:lastRow="0" w:firstColumn="1" w:lastColumn="0" w:oddVBand="0" w:evenVBand="0" w:oddHBand="0" w:evenHBand="0" w:firstRowFirstColumn="0" w:firstRowLastColumn="0" w:lastRowFirstColumn="0" w:lastRowLastColumn="0"/>
            <w:tcW w:w="1838" w:type="dxa"/>
          </w:tcPr>
          <w:p w14:paraId="7107E8BA" w14:textId="77777777" w:rsidR="00FE1976" w:rsidRPr="00446E1C" w:rsidRDefault="00FE1976" w:rsidP="00FE1976">
            <w:pPr>
              <w:rPr>
                <w:rFonts w:cstheme="minorHAnsi"/>
              </w:rPr>
            </w:pPr>
            <w:r w:rsidRPr="00446E1C">
              <w:rPr>
                <w:rFonts w:cstheme="minorHAnsi"/>
              </w:rPr>
              <w:lastRenderedPageBreak/>
              <w:t>Silvanols</w:t>
            </w:r>
          </w:p>
        </w:tc>
        <w:tc>
          <w:tcPr>
            <w:tcW w:w="6458" w:type="dxa"/>
          </w:tcPr>
          <w:p w14:paraId="5778089A" w14:textId="77777777" w:rsidR="00FE1976" w:rsidRPr="00446E1C" w:rsidRDefault="00FE1976" w:rsidP="00FE1976">
            <w:pPr>
              <w:cnfStyle w:val="000000000000" w:firstRow="0" w:lastRow="0" w:firstColumn="0" w:lastColumn="0" w:oddVBand="0" w:evenVBand="0" w:oddHBand="0" w:evenHBand="0" w:firstRowFirstColumn="0" w:firstRowLastColumn="0" w:lastRowFirstColumn="0" w:lastRowLastColumn="0"/>
              <w:rPr>
                <w:rFonts w:cstheme="minorHAnsi"/>
                <w:b/>
                <w:i/>
              </w:rPr>
            </w:pPr>
            <w:r w:rsidRPr="00446E1C">
              <w:rPr>
                <w:rFonts w:cstheme="minorHAnsi"/>
                <w:b/>
                <w:i/>
              </w:rPr>
              <w:t>Pētniecības infrastruktūra</w:t>
            </w:r>
          </w:p>
          <w:p w14:paraId="32EEDE7A" w14:textId="77777777" w:rsidR="00FE1976" w:rsidRPr="00446E1C" w:rsidRDefault="00FE1976" w:rsidP="00FE1976">
            <w:pPr>
              <w:cnfStyle w:val="000000000000" w:firstRow="0" w:lastRow="0" w:firstColumn="0" w:lastColumn="0" w:oddVBand="0" w:evenVBand="0" w:oddHBand="0" w:evenHBand="0" w:firstRowFirstColumn="0" w:firstRowLastColumn="0" w:lastRowFirstColumn="0" w:lastRowLastColumn="0"/>
              <w:rPr>
                <w:rFonts w:cstheme="minorHAnsi"/>
                <w:b/>
                <w:i/>
              </w:rPr>
            </w:pPr>
            <w:r w:rsidRPr="00446E1C">
              <w:rPr>
                <w:rFonts w:cstheme="minorHAnsi"/>
              </w:rPr>
              <w:t>Uzņēmumam ir pieejama aprīkota laboratorija.</w:t>
            </w:r>
          </w:p>
          <w:p w14:paraId="10D9C2B1" w14:textId="77777777" w:rsidR="00FE1976" w:rsidRPr="00446E1C" w:rsidRDefault="00FE1976" w:rsidP="00FE1976">
            <w:pPr>
              <w:cnfStyle w:val="000000000000" w:firstRow="0" w:lastRow="0" w:firstColumn="0" w:lastColumn="0" w:oddVBand="0" w:evenVBand="0" w:oddHBand="0" w:evenHBand="0" w:firstRowFirstColumn="0" w:firstRowLastColumn="0" w:lastRowFirstColumn="0" w:lastRowLastColumn="0"/>
              <w:rPr>
                <w:rFonts w:cstheme="minorHAnsi"/>
                <w:b/>
                <w:i/>
              </w:rPr>
            </w:pPr>
            <w:r w:rsidRPr="00446E1C">
              <w:rPr>
                <w:rFonts w:cstheme="minorHAnsi"/>
                <w:b/>
                <w:i/>
              </w:rPr>
              <w:t>P&amp;A personāls</w:t>
            </w:r>
          </w:p>
          <w:p w14:paraId="0D0EC803" w14:textId="77777777" w:rsidR="00FE1976" w:rsidRPr="00446E1C" w:rsidRDefault="00FE1976" w:rsidP="00FE1976">
            <w:pPr>
              <w:cnfStyle w:val="000000000000" w:firstRow="0" w:lastRow="0" w:firstColumn="0" w:lastColumn="0" w:oddVBand="0" w:evenVBand="0" w:oddHBand="0" w:evenHBand="0" w:firstRowFirstColumn="0" w:firstRowLastColumn="0" w:lastRowFirstColumn="0" w:lastRowLastColumn="0"/>
              <w:rPr>
                <w:rFonts w:cstheme="minorHAnsi"/>
              </w:rPr>
            </w:pPr>
            <w:r w:rsidRPr="00446E1C">
              <w:rPr>
                <w:rFonts w:cstheme="minorHAnsi"/>
              </w:rPr>
              <w:t>Projekta īstenošanā tiks piesaistīti augsti kvalificēti speciālisti ar maģistra grādu medicīnā, farmācijā vai ķīmijā ar vismaz 8 gadu pieredzi attiecīgajā nozarē.</w:t>
            </w:r>
          </w:p>
        </w:tc>
      </w:tr>
      <w:tr w:rsidR="00FE1976" w:rsidRPr="00446E1C" w14:paraId="572319FD" w14:textId="77777777" w:rsidTr="00FE19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43D64D99" w14:textId="1EC90AA7" w:rsidR="00FE1976" w:rsidRPr="00446E1C" w:rsidRDefault="00FE1976" w:rsidP="00FE1976">
            <w:pPr>
              <w:rPr>
                <w:rFonts w:cstheme="minorHAnsi"/>
              </w:rPr>
            </w:pPr>
            <w:r w:rsidRPr="00446E1C">
              <w:rPr>
                <w:rFonts w:cstheme="minorHAnsi"/>
              </w:rPr>
              <w:t>Labochem</w:t>
            </w:r>
            <w:r w:rsidR="006E36FB">
              <w:rPr>
                <w:rFonts w:cstheme="minorHAnsi"/>
              </w:rPr>
              <w:t>LV</w:t>
            </w:r>
          </w:p>
        </w:tc>
        <w:tc>
          <w:tcPr>
            <w:tcW w:w="6458" w:type="dxa"/>
          </w:tcPr>
          <w:p w14:paraId="0F6BCD3D" w14:textId="77777777" w:rsidR="00FE1976" w:rsidRPr="00446E1C" w:rsidRDefault="00FE1976" w:rsidP="00FE1976">
            <w:pPr>
              <w:cnfStyle w:val="000000100000" w:firstRow="0" w:lastRow="0" w:firstColumn="0" w:lastColumn="0" w:oddVBand="0" w:evenVBand="0" w:oddHBand="1" w:evenHBand="0" w:firstRowFirstColumn="0" w:firstRowLastColumn="0" w:lastRowFirstColumn="0" w:lastRowLastColumn="0"/>
              <w:rPr>
                <w:rFonts w:cstheme="minorHAnsi"/>
                <w:b/>
                <w:i/>
              </w:rPr>
            </w:pPr>
            <w:r w:rsidRPr="00446E1C">
              <w:rPr>
                <w:rFonts w:cstheme="minorHAnsi"/>
                <w:b/>
                <w:i/>
              </w:rPr>
              <w:t>Pētniecības infrastruktūra</w:t>
            </w:r>
          </w:p>
          <w:p w14:paraId="35AD4ACB" w14:textId="77777777" w:rsidR="00FE1976" w:rsidRPr="00446E1C" w:rsidRDefault="00FE1976" w:rsidP="006F31C1">
            <w:pPr>
              <w:pStyle w:val="ListParagraph"/>
              <w:keepLines w:val="0"/>
              <w:numPr>
                <w:ilvl w:val="0"/>
                <w:numId w:val="23"/>
              </w:numPr>
              <w:shd w:val="clear" w:color="auto" w:fill="auto"/>
              <w:spacing w:before="0" w:after="0"/>
              <w:jc w:val="left"/>
              <w:cnfStyle w:val="000000100000" w:firstRow="0" w:lastRow="0" w:firstColumn="0" w:lastColumn="0" w:oddVBand="0" w:evenVBand="0" w:oddHBand="1" w:evenHBand="0" w:firstRowFirstColumn="0" w:firstRowLastColumn="0" w:lastRowFirstColumn="0" w:lastRowLastColumn="0"/>
              <w:rPr>
                <w:rFonts w:cstheme="minorHAnsi"/>
              </w:rPr>
            </w:pPr>
            <w:r w:rsidRPr="00446E1C">
              <w:rPr>
                <w:rFonts w:cstheme="minorHAnsi"/>
              </w:rPr>
              <w:t>Telpas un laboratorijas iekārtas ķīmisko un biotehnoloģiski iegūstamo vielu sintēzes pētījumiem.</w:t>
            </w:r>
          </w:p>
          <w:p w14:paraId="541B18F9" w14:textId="6E082D0D" w:rsidR="00FE1976" w:rsidRPr="00446E1C" w:rsidRDefault="00FE1976" w:rsidP="006F31C1">
            <w:pPr>
              <w:pStyle w:val="ListParagraph"/>
              <w:keepLines w:val="0"/>
              <w:numPr>
                <w:ilvl w:val="0"/>
                <w:numId w:val="23"/>
              </w:numPr>
              <w:shd w:val="clear" w:color="auto" w:fill="auto"/>
              <w:spacing w:before="0" w:after="0"/>
              <w:jc w:val="left"/>
              <w:cnfStyle w:val="000000100000" w:firstRow="0" w:lastRow="0" w:firstColumn="0" w:lastColumn="0" w:oddVBand="0" w:evenVBand="0" w:oddHBand="1" w:evenHBand="0" w:firstRowFirstColumn="0" w:firstRowLastColumn="0" w:lastRowFirstColumn="0" w:lastRowLastColumn="0"/>
              <w:rPr>
                <w:rFonts w:cstheme="minorHAnsi"/>
              </w:rPr>
            </w:pPr>
            <w:r w:rsidRPr="00446E1C">
              <w:rPr>
                <w:rFonts w:cstheme="minorHAnsi"/>
              </w:rPr>
              <w:t xml:space="preserve">Nepieciešamās </w:t>
            </w:r>
            <w:r w:rsidR="006E36FB">
              <w:rPr>
                <w:rFonts w:cstheme="minorHAnsi"/>
              </w:rPr>
              <w:t xml:space="preserve">analītiskās </w:t>
            </w:r>
            <w:r w:rsidRPr="00446E1C">
              <w:rPr>
                <w:rFonts w:cstheme="minorHAnsi"/>
              </w:rPr>
              <w:t>iekārtas, ieskaitot AEŠH iekārtu.</w:t>
            </w:r>
          </w:p>
          <w:p w14:paraId="2E99F062" w14:textId="77777777" w:rsidR="00FE1976" w:rsidRPr="00446E1C" w:rsidRDefault="00FE1976" w:rsidP="00FE1976">
            <w:pPr>
              <w:cnfStyle w:val="000000100000" w:firstRow="0" w:lastRow="0" w:firstColumn="0" w:lastColumn="0" w:oddVBand="0" w:evenVBand="0" w:oddHBand="1" w:evenHBand="0" w:firstRowFirstColumn="0" w:firstRowLastColumn="0" w:lastRowFirstColumn="0" w:lastRowLastColumn="0"/>
              <w:rPr>
                <w:rFonts w:cstheme="minorHAnsi"/>
                <w:b/>
                <w:i/>
              </w:rPr>
            </w:pPr>
            <w:r w:rsidRPr="00446E1C">
              <w:rPr>
                <w:rFonts w:cstheme="minorHAnsi"/>
                <w:b/>
                <w:i/>
              </w:rPr>
              <w:t>P&amp;A personāls</w:t>
            </w:r>
          </w:p>
          <w:p w14:paraId="62A7B6F7" w14:textId="369D11EA" w:rsidR="00FE1976" w:rsidRPr="00446E1C" w:rsidRDefault="00FE1976" w:rsidP="00FE1976">
            <w:pPr>
              <w:cnfStyle w:val="000000100000" w:firstRow="0" w:lastRow="0" w:firstColumn="0" w:lastColumn="0" w:oddVBand="0" w:evenVBand="0" w:oddHBand="1" w:evenHBand="0" w:firstRowFirstColumn="0" w:firstRowLastColumn="0" w:lastRowFirstColumn="0" w:lastRowLastColumn="0"/>
              <w:rPr>
                <w:rFonts w:cstheme="minorHAnsi"/>
              </w:rPr>
            </w:pPr>
            <w:r w:rsidRPr="00446E1C">
              <w:rPr>
                <w:rFonts w:cstheme="minorHAnsi"/>
              </w:rPr>
              <w:t xml:space="preserve">10 augsti kvalificēti un pieredzējuši pētnieki, no kuriem 4 ar ķīmijas </w:t>
            </w:r>
            <w:r w:rsidR="006E36FB">
              <w:rPr>
                <w:rFonts w:cstheme="minorHAnsi"/>
              </w:rPr>
              <w:t xml:space="preserve">doktora </w:t>
            </w:r>
            <w:r w:rsidRPr="00446E1C">
              <w:rPr>
                <w:rFonts w:cstheme="minorHAnsi"/>
              </w:rPr>
              <w:t>grādu.</w:t>
            </w:r>
          </w:p>
        </w:tc>
      </w:tr>
      <w:tr w:rsidR="00FE1976" w:rsidRPr="00446E1C" w14:paraId="07EDF489" w14:textId="77777777" w:rsidTr="00FE1976">
        <w:tc>
          <w:tcPr>
            <w:cnfStyle w:val="001000000000" w:firstRow="0" w:lastRow="0" w:firstColumn="1" w:lastColumn="0" w:oddVBand="0" w:evenVBand="0" w:oddHBand="0" w:evenHBand="0" w:firstRowFirstColumn="0" w:firstRowLastColumn="0" w:lastRowFirstColumn="0" w:lastRowLastColumn="0"/>
            <w:tcW w:w="1838" w:type="dxa"/>
          </w:tcPr>
          <w:p w14:paraId="78A8ED34" w14:textId="77777777" w:rsidR="00FE1976" w:rsidRPr="00446E1C" w:rsidRDefault="00FE1976" w:rsidP="00FE1976">
            <w:pPr>
              <w:rPr>
                <w:rFonts w:cstheme="minorHAnsi"/>
              </w:rPr>
            </w:pPr>
            <w:r w:rsidRPr="00446E1C">
              <w:rPr>
                <w:rFonts w:cstheme="minorHAnsi"/>
              </w:rPr>
              <w:t>Pharmidea</w:t>
            </w:r>
          </w:p>
        </w:tc>
        <w:tc>
          <w:tcPr>
            <w:tcW w:w="6458" w:type="dxa"/>
          </w:tcPr>
          <w:p w14:paraId="03A0CC1F" w14:textId="77777777" w:rsidR="00FE1976" w:rsidRPr="00446E1C" w:rsidRDefault="00FE1976" w:rsidP="00FE1976">
            <w:pPr>
              <w:cnfStyle w:val="000000000000" w:firstRow="0" w:lastRow="0" w:firstColumn="0" w:lastColumn="0" w:oddVBand="0" w:evenVBand="0" w:oddHBand="0" w:evenHBand="0" w:firstRowFirstColumn="0" w:firstRowLastColumn="0" w:lastRowFirstColumn="0" w:lastRowLastColumn="0"/>
              <w:rPr>
                <w:rFonts w:cstheme="minorHAnsi"/>
                <w:b/>
                <w:i/>
              </w:rPr>
            </w:pPr>
            <w:r w:rsidRPr="00446E1C">
              <w:rPr>
                <w:rFonts w:cstheme="minorHAnsi"/>
                <w:b/>
                <w:i/>
              </w:rPr>
              <w:t>Pētniecības infrastruktūra</w:t>
            </w:r>
          </w:p>
          <w:p w14:paraId="4AC367D9" w14:textId="77777777" w:rsidR="00FE1976" w:rsidRPr="00446E1C" w:rsidRDefault="00FE1976" w:rsidP="006F31C1">
            <w:pPr>
              <w:pStyle w:val="ListParagraph"/>
              <w:keepLines w:val="0"/>
              <w:numPr>
                <w:ilvl w:val="0"/>
                <w:numId w:val="23"/>
              </w:numPr>
              <w:shd w:val="clear" w:color="auto" w:fill="auto"/>
              <w:spacing w:before="0" w:after="0"/>
              <w:jc w:val="left"/>
              <w:cnfStyle w:val="000000000000" w:firstRow="0" w:lastRow="0" w:firstColumn="0" w:lastColumn="0" w:oddVBand="0" w:evenVBand="0" w:oddHBand="0" w:evenHBand="0" w:firstRowFirstColumn="0" w:firstRowLastColumn="0" w:lastRowFirstColumn="0" w:lastRowLastColumn="0"/>
              <w:rPr>
                <w:rFonts w:cstheme="minorHAnsi"/>
              </w:rPr>
            </w:pPr>
            <w:r w:rsidRPr="002319D2">
              <w:rPr>
                <w:rFonts w:cstheme="minorHAnsi"/>
                <w:lang w:val="fr-FR"/>
              </w:rPr>
              <w:t xml:space="preserve">Modernas ražošanas un laboratorijas iekārtas vairāk nekā 4.5 milj. </w:t>
            </w:r>
            <w:r w:rsidRPr="00446E1C">
              <w:rPr>
                <w:rFonts w:cstheme="minorHAnsi"/>
              </w:rPr>
              <w:t>EUR vērtībā, kas regulāri tiek papildinātas</w:t>
            </w:r>
          </w:p>
          <w:p w14:paraId="4573DE93" w14:textId="77777777" w:rsidR="00FE1976" w:rsidRPr="002319D2" w:rsidRDefault="00FE1976" w:rsidP="006F31C1">
            <w:pPr>
              <w:pStyle w:val="ListParagraph"/>
              <w:keepLines w:val="0"/>
              <w:numPr>
                <w:ilvl w:val="0"/>
                <w:numId w:val="23"/>
              </w:numPr>
              <w:shd w:val="clear" w:color="auto" w:fill="auto"/>
              <w:spacing w:before="0" w:after="0"/>
              <w:jc w:val="left"/>
              <w:cnfStyle w:val="000000000000" w:firstRow="0" w:lastRow="0" w:firstColumn="0" w:lastColumn="0" w:oddVBand="0" w:evenVBand="0" w:oddHBand="0" w:evenHBand="0" w:firstRowFirstColumn="0" w:firstRowLastColumn="0" w:lastRowFirstColumn="0" w:lastRowLastColumn="0"/>
              <w:rPr>
                <w:rFonts w:cstheme="minorHAnsi"/>
                <w:lang w:val="fr-FR"/>
              </w:rPr>
            </w:pPr>
            <w:r w:rsidRPr="002319D2">
              <w:rPr>
                <w:rFonts w:cstheme="minorHAnsi"/>
                <w:lang w:val="fr-FR"/>
              </w:rPr>
              <w:t>Ražošanas un laboratorijas telpas ~2000 m2 apjomā</w:t>
            </w:r>
          </w:p>
          <w:p w14:paraId="092E9914" w14:textId="77777777" w:rsidR="00FE1976" w:rsidRPr="002319D2" w:rsidRDefault="00FE1976" w:rsidP="00FE1976">
            <w:pPr>
              <w:cnfStyle w:val="000000000000" w:firstRow="0" w:lastRow="0" w:firstColumn="0" w:lastColumn="0" w:oddVBand="0" w:evenVBand="0" w:oddHBand="0" w:evenHBand="0" w:firstRowFirstColumn="0" w:firstRowLastColumn="0" w:lastRowFirstColumn="0" w:lastRowLastColumn="0"/>
              <w:rPr>
                <w:rFonts w:cstheme="minorHAnsi"/>
                <w:b/>
                <w:i/>
                <w:lang w:val="fr-FR"/>
              </w:rPr>
            </w:pPr>
            <w:r w:rsidRPr="002319D2">
              <w:rPr>
                <w:rFonts w:cstheme="minorHAnsi"/>
                <w:b/>
                <w:i/>
                <w:lang w:val="fr-FR"/>
              </w:rPr>
              <w:t>P&amp;A personāls</w:t>
            </w:r>
          </w:p>
          <w:p w14:paraId="5BB3486A" w14:textId="313A74DE" w:rsidR="00FE1976" w:rsidRPr="002319D2" w:rsidRDefault="00C05453" w:rsidP="00FE1976">
            <w:pPr>
              <w:cnfStyle w:val="000000000000" w:firstRow="0" w:lastRow="0" w:firstColumn="0" w:lastColumn="0" w:oddVBand="0" w:evenVBand="0" w:oddHBand="0" w:evenHBand="0" w:firstRowFirstColumn="0" w:firstRowLastColumn="0" w:lastRowFirstColumn="0" w:lastRowLastColumn="0"/>
              <w:rPr>
                <w:rFonts w:cstheme="minorHAnsi"/>
                <w:lang w:val="fr-FR"/>
              </w:rPr>
            </w:pPr>
            <w:r>
              <w:rPr>
                <w:rFonts w:cstheme="minorHAnsi"/>
                <w:lang w:val="fr-FR"/>
              </w:rPr>
              <w:t>10 a</w:t>
            </w:r>
            <w:r w:rsidR="00FE1976" w:rsidRPr="002319D2">
              <w:rPr>
                <w:rFonts w:cstheme="minorHAnsi"/>
                <w:lang w:val="fr-FR"/>
              </w:rPr>
              <w:t xml:space="preserve">ugsti kvalificēti profesionāļi ar vairāk nekā </w:t>
            </w:r>
            <w:r>
              <w:rPr>
                <w:rFonts w:cstheme="minorHAnsi"/>
                <w:lang w:val="fr-FR"/>
              </w:rPr>
              <w:t>5</w:t>
            </w:r>
            <w:r w:rsidRPr="002319D2">
              <w:rPr>
                <w:rFonts w:cstheme="minorHAnsi"/>
                <w:lang w:val="fr-FR"/>
              </w:rPr>
              <w:t xml:space="preserve"> </w:t>
            </w:r>
            <w:r w:rsidR="00FE1976" w:rsidRPr="002319D2">
              <w:rPr>
                <w:rFonts w:cstheme="minorHAnsi"/>
                <w:lang w:val="fr-FR"/>
              </w:rPr>
              <w:t>gadu pieredzi farmācijas nozarē.</w:t>
            </w:r>
          </w:p>
        </w:tc>
      </w:tr>
      <w:tr w:rsidR="00FE1976" w:rsidRPr="00446E1C" w14:paraId="301A9F44" w14:textId="77777777" w:rsidTr="00FE19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4ECAE012" w14:textId="77777777" w:rsidR="00FE1976" w:rsidRPr="00446E1C" w:rsidRDefault="00FE1976" w:rsidP="00FE1976">
            <w:pPr>
              <w:rPr>
                <w:rFonts w:cstheme="minorHAnsi"/>
              </w:rPr>
            </w:pPr>
            <w:r w:rsidRPr="00446E1C">
              <w:rPr>
                <w:rFonts w:cstheme="minorHAnsi"/>
              </w:rPr>
              <w:t>Madara Cosmetics</w:t>
            </w:r>
          </w:p>
        </w:tc>
        <w:tc>
          <w:tcPr>
            <w:tcW w:w="6458" w:type="dxa"/>
          </w:tcPr>
          <w:p w14:paraId="5802E423" w14:textId="77777777" w:rsidR="00FE1976" w:rsidRPr="00446E1C" w:rsidRDefault="00FE1976" w:rsidP="00FE1976">
            <w:pPr>
              <w:cnfStyle w:val="000000100000" w:firstRow="0" w:lastRow="0" w:firstColumn="0" w:lastColumn="0" w:oddVBand="0" w:evenVBand="0" w:oddHBand="1" w:evenHBand="0" w:firstRowFirstColumn="0" w:firstRowLastColumn="0" w:lastRowFirstColumn="0" w:lastRowLastColumn="0"/>
              <w:rPr>
                <w:rFonts w:cstheme="minorHAnsi"/>
                <w:b/>
                <w:i/>
              </w:rPr>
            </w:pPr>
            <w:r w:rsidRPr="00446E1C">
              <w:rPr>
                <w:rFonts w:cstheme="minorHAnsi"/>
                <w:b/>
                <w:i/>
              </w:rPr>
              <w:t>Pētniecības infrastruktūra</w:t>
            </w:r>
          </w:p>
          <w:p w14:paraId="01F6E524" w14:textId="77777777" w:rsidR="00FE1976" w:rsidRPr="00446E1C" w:rsidRDefault="00FE1976" w:rsidP="00FE1976">
            <w:pPr>
              <w:cnfStyle w:val="000000100000" w:firstRow="0" w:lastRow="0" w:firstColumn="0" w:lastColumn="0" w:oddVBand="0" w:evenVBand="0" w:oddHBand="1" w:evenHBand="0" w:firstRowFirstColumn="0" w:firstRowLastColumn="0" w:lastRowFirstColumn="0" w:lastRowLastColumn="0"/>
              <w:rPr>
                <w:rFonts w:cstheme="minorHAnsi"/>
              </w:rPr>
            </w:pPr>
            <w:r w:rsidRPr="00446E1C">
              <w:rPr>
                <w:rFonts w:cstheme="minorHAnsi"/>
              </w:rPr>
              <w:t>Uzņēmumam ir pieejama moderna aprīkota laboratorija kosmētikas produktu izstrādei un testēšanai.</w:t>
            </w:r>
          </w:p>
          <w:p w14:paraId="77C1420F" w14:textId="77777777" w:rsidR="00FE1976" w:rsidRPr="00446E1C" w:rsidRDefault="00FE1976" w:rsidP="00FE1976">
            <w:pPr>
              <w:cnfStyle w:val="000000100000" w:firstRow="0" w:lastRow="0" w:firstColumn="0" w:lastColumn="0" w:oddVBand="0" w:evenVBand="0" w:oddHBand="1" w:evenHBand="0" w:firstRowFirstColumn="0" w:firstRowLastColumn="0" w:lastRowFirstColumn="0" w:lastRowLastColumn="0"/>
              <w:rPr>
                <w:rFonts w:cstheme="minorHAnsi"/>
                <w:b/>
                <w:i/>
              </w:rPr>
            </w:pPr>
            <w:r w:rsidRPr="00446E1C">
              <w:rPr>
                <w:rFonts w:cstheme="minorHAnsi"/>
                <w:b/>
                <w:i/>
              </w:rPr>
              <w:t>P&amp;A personāls</w:t>
            </w:r>
          </w:p>
          <w:p w14:paraId="4C102B31" w14:textId="77777777" w:rsidR="00FE1976" w:rsidRPr="00446E1C" w:rsidRDefault="00FE1976" w:rsidP="00FE1976">
            <w:pPr>
              <w:cnfStyle w:val="000000100000" w:firstRow="0" w:lastRow="0" w:firstColumn="0" w:lastColumn="0" w:oddVBand="0" w:evenVBand="0" w:oddHBand="1" w:evenHBand="0" w:firstRowFirstColumn="0" w:firstRowLastColumn="0" w:lastRowFirstColumn="0" w:lastRowLastColumn="0"/>
              <w:rPr>
                <w:rFonts w:cstheme="minorHAnsi"/>
              </w:rPr>
            </w:pPr>
            <w:r w:rsidRPr="00446E1C">
              <w:rPr>
                <w:rFonts w:cstheme="minorHAnsi"/>
              </w:rPr>
              <w:t>Projektā nodarbinātie speciālisti ir ieguvuši bakalaura un/vai maģistra grādu ķīmijā, ķīmijas tehnoloģijā un enerģētikā, farmācijā vai pārtikas tehnoloģijā</w:t>
            </w:r>
            <w:r w:rsidRPr="00446E1C">
              <w:rPr>
                <w:rFonts w:cstheme="minorHAnsi"/>
                <w:b/>
                <w:i/>
              </w:rPr>
              <w:t xml:space="preserve">. </w:t>
            </w:r>
            <w:r w:rsidRPr="00446E1C">
              <w:rPr>
                <w:rFonts w:cstheme="minorHAnsi"/>
              </w:rPr>
              <w:t>3 darbiniekiem ir 8 gadu pieredzi, pārējie darbinieki ar 1-3 gadu pieredzi</w:t>
            </w:r>
          </w:p>
          <w:p w14:paraId="2355DD61" w14:textId="77777777" w:rsidR="00FE1976" w:rsidRPr="00446E1C" w:rsidRDefault="00FE1976" w:rsidP="00FE1976">
            <w:pPr>
              <w:cnfStyle w:val="000000100000" w:firstRow="0" w:lastRow="0" w:firstColumn="0" w:lastColumn="0" w:oddVBand="0" w:evenVBand="0" w:oddHBand="1" w:evenHBand="0" w:firstRowFirstColumn="0" w:firstRowLastColumn="0" w:lastRowFirstColumn="0" w:lastRowLastColumn="0"/>
              <w:rPr>
                <w:rFonts w:cstheme="minorHAnsi"/>
              </w:rPr>
            </w:pPr>
          </w:p>
        </w:tc>
      </w:tr>
      <w:tr w:rsidR="00FE1976" w:rsidRPr="00446E1C" w14:paraId="755AA525" w14:textId="77777777" w:rsidTr="00FE1976">
        <w:tc>
          <w:tcPr>
            <w:cnfStyle w:val="001000000000" w:firstRow="0" w:lastRow="0" w:firstColumn="1" w:lastColumn="0" w:oddVBand="0" w:evenVBand="0" w:oddHBand="0" w:evenHBand="0" w:firstRowFirstColumn="0" w:firstRowLastColumn="0" w:lastRowFirstColumn="0" w:lastRowLastColumn="0"/>
            <w:tcW w:w="1838" w:type="dxa"/>
          </w:tcPr>
          <w:p w14:paraId="085CC30E" w14:textId="10598A0A" w:rsidR="00FE1976" w:rsidRPr="00446E1C" w:rsidRDefault="00231CD8" w:rsidP="00FE1976">
            <w:pPr>
              <w:rPr>
                <w:rFonts w:cstheme="minorHAnsi"/>
              </w:rPr>
            </w:pPr>
            <w:r>
              <w:rPr>
                <w:rFonts w:cstheme="minorHAnsi"/>
              </w:rPr>
              <w:t>Rīgas farmaceitiskā fabrika</w:t>
            </w:r>
          </w:p>
        </w:tc>
        <w:tc>
          <w:tcPr>
            <w:tcW w:w="6458" w:type="dxa"/>
          </w:tcPr>
          <w:p w14:paraId="69B3B145" w14:textId="77777777" w:rsidR="00FE1976" w:rsidRPr="00446E1C" w:rsidRDefault="00FE1976" w:rsidP="00FE1976">
            <w:pPr>
              <w:cnfStyle w:val="000000000000" w:firstRow="0" w:lastRow="0" w:firstColumn="0" w:lastColumn="0" w:oddVBand="0" w:evenVBand="0" w:oddHBand="0" w:evenHBand="0" w:firstRowFirstColumn="0" w:firstRowLastColumn="0" w:lastRowFirstColumn="0" w:lastRowLastColumn="0"/>
              <w:rPr>
                <w:rFonts w:cstheme="minorHAnsi"/>
                <w:b/>
                <w:i/>
              </w:rPr>
            </w:pPr>
            <w:r w:rsidRPr="00446E1C">
              <w:rPr>
                <w:rFonts w:cstheme="minorHAnsi"/>
                <w:b/>
                <w:i/>
              </w:rPr>
              <w:t>Pētniecības infrastruktūra</w:t>
            </w:r>
          </w:p>
          <w:p w14:paraId="2DA4A552" w14:textId="77777777" w:rsidR="00FE1976" w:rsidRPr="00446E1C" w:rsidRDefault="00FE1976" w:rsidP="00FE1976">
            <w:pPr>
              <w:cnfStyle w:val="000000000000" w:firstRow="0" w:lastRow="0" w:firstColumn="0" w:lastColumn="0" w:oddVBand="0" w:evenVBand="0" w:oddHBand="0" w:evenHBand="0" w:firstRowFirstColumn="0" w:firstRowLastColumn="0" w:lastRowFirstColumn="0" w:lastRowLastColumn="0"/>
              <w:rPr>
                <w:rFonts w:cstheme="minorHAnsi"/>
              </w:rPr>
            </w:pPr>
            <w:r w:rsidRPr="00446E1C">
              <w:rPr>
                <w:rFonts w:cstheme="minorHAnsi"/>
              </w:rPr>
              <w:t>Modernizēta laboratorija 256 m2 aprīkota ar nepieciešamām iekārtām kosmētikas produktu izstrādei un analīzei, degustācijas zāle organoleptisko produktu novērtēšanai.</w:t>
            </w:r>
          </w:p>
          <w:p w14:paraId="2066FAEE" w14:textId="77777777" w:rsidR="00FE1976" w:rsidRPr="00446E1C" w:rsidRDefault="00FE1976" w:rsidP="00FE1976">
            <w:pPr>
              <w:cnfStyle w:val="000000000000" w:firstRow="0" w:lastRow="0" w:firstColumn="0" w:lastColumn="0" w:oddVBand="0" w:evenVBand="0" w:oddHBand="0" w:evenHBand="0" w:firstRowFirstColumn="0" w:firstRowLastColumn="0" w:lastRowFirstColumn="0" w:lastRowLastColumn="0"/>
              <w:rPr>
                <w:rFonts w:cstheme="minorHAnsi"/>
                <w:b/>
                <w:i/>
              </w:rPr>
            </w:pPr>
            <w:r w:rsidRPr="00446E1C">
              <w:rPr>
                <w:rFonts w:cstheme="minorHAnsi"/>
                <w:b/>
                <w:i/>
              </w:rPr>
              <w:t>P&amp;A personāls</w:t>
            </w:r>
          </w:p>
          <w:p w14:paraId="29B54285" w14:textId="77777777" w:rsidR="00FE1976" w:rsidRPr="00446E1C" w:rsidRDefault="00FE1976" w:rsidP="006F31C1">
            <w:pPr>
              <w:pStyle w:val="ListParagraph"/>
              <w:keepLines w:val="0"/>
              <w:numPr>
                <w:ilvl w:val="0"/>
                <w:numId w:val="25"/>
              </w:numPr>
              <w:shd w:val="clear" w:color="auto" w:fill="auto"/>
              <w:spacing w:before="0" w:after="0"/>
              <w:jc w:val="left"/>
              <w:cnfStyle w:val="000000000000" w:firstRow="0" w:lastRow="0" w:firstColumn="0" w:lastColumn="0" w:oddVBand="0" w:evenVBand="0" w:oddHBand="0" w:evenHBand="0" w:firstRowFirstColumn="0" w:firstRowLastColumn="0" w:lastRowFirstColumn="0" w:lastRowLastColumn="0"/>
              <w:rPr>
                <w:rFonts w:cstheme="minorHAnsi"/>
              </w:rPr>
            </w:pPr>
            <w:r w:rsidRPr="00446E1C">
              <w:rPr>
                <w:rFonts w:cstheme="minorHAnsi"/>
              </w:rPr>
              <w:t>Vadošie pētnieki ar maģistra un doktora grādu organiskajā ķīmijā un diplomu Kosmētikas zinātnē (De Montfort Universitāte Lielbritānijā)</w:t>
            </w:r>
          </w:p>
          <w:p w14:paraId="29C5BBCA" w14:textId="77777777" w:rsidR="00FE1976" w:rsidRPr="00446E1C" w:rsidRDefault="00FE1976" w:rsidP="006F31C1">
            <w:pPr>
              <w:pStyle w:val="ListParagraph"/>
              <w:keepLines w:val="0"/>
              <w:numPr>
                <w:ilvl w:val="0"/>
                <w:numId w:val="25"/>
              </w:numPr>
              <w:shd w:val="clear" w:color="auto" w:fill="auto"/>
              <w:spacing w:before="0" w:after="0"/>
              <w:jc w:val="left"/>
              <w:cnfStyle w:val="000000000000" w:firstRow="0" w:lastRow="0" w:firstColumn="0" w:lastColumn="0" w:oddVBand="0" w:evenVBand="0" w:oddHBand="0" w:evenHBand="0" w:firstRowFirstColumn="0" w:firstRowLastColumn="0" w:lastRowFirstColumn="0" w:lastRowLastColumn="0"/>
              <w:rPr>
                <w:rFonts w:cstheme="minorHAnsi"/>
              </w:rPr>
            </w:pPr>
            <w:r w:rsidRPr="00446E1C">
              <w:rPr>
                <w:rFonts w:cstheme="minorHAnsi"/>
              </w:rPr>
              <w:lastRenderedPageBreak/>
              <w:t>Asistenti (maģistra grāds organiskajā ķīmijā)</w:t>
            </w:r>
          </w:p>
          <w:p w14:paraId="21C1F533" w14:textId="77777777" w:rsidR="00FE1976" w:rsidRPr="00446E1C" w:rsidRDefault="00FE1976" w:rsidP="00FE1976">
            <w:pPr>
              <w:cnfStyle w:val="000000000000" w:firstRow="0" w:lastRow="0" w:firstColumn="0" w:lastColumn="0" w:oddVBand="0" w:evenVBand="0" w:oddHBand="0" w:evenHBand="0" w:firstRowFirstColumn="0" w:firstRowLastColumn="0" w:lastRowFirstColumn="0" w:lastRowLastColumn="0"/>
              <w:rPr>
                <w:rFonts w:cstheme="minorHAnsi"/>
              </w:rPr>
            </w:pPr>
            <w:r w:rsidRPr="00446E1C">
              <w:rPr>
                <w:rFonts w:cstheme="minorHAnsi"/>
              </w:rPr>
              <w:t xml:space="preserve">Visi darbinieki ir aktīvie  Skandināvijas Kosmētikas Biedrības biedri </w:t>
            </w:r>
          </w:p>
          <w:p w14:paraId="28E85D93" w14:textId="77777777" w:rsidR="00FE1976" w:rsidRPr="00446E1C" w:rsidRDefault="00FE1976" w:rsidP="00FE1976">
            <w:pPr>
              <w:cnfStyle w:val="000000000000" w:firstRow="0" w:lastRow="0" w:firstColumn="0" w:lastColumn="0" w:oddVBand="0" w:evenVBand="0" w:oddHBand="0" w:evenHBand="0" w:firstRowFirstColumn="0" w:firstRowLastColumn="0" w:lastRowFirstColumn="0" w:lastRowLastColumn="0"/>
              <w:rPr>
                <w:rFonts w:cstheme="minorHAnsi"/>
              </w:rPr>
            </w:pPr>
          </w:p>
        </w:tc>
      </w:tr>
    </w:tbl>
    <w:p w14:paraId="2BC7A826" w14:textId="258A925F" w:rsidR="00FE1976" w:rsidRPr="00FE1976" w:rsidRDefault="00FE1976" w:rsidP="002319D2">
      <w:pPr>
        <w:pStyle w:val="Heading2"/>
      </w:pPr>
      <w:bookmarkStart w:id="135" w:name="_Toc530052602"/>
      <w:bookmarkStart w:id="136" w:name="_Toc119072248"/>
      <w:r>
        <w:lastRenderedPageBreak/>
        <w:t>Latvijā pieejamā pētniecības infrastruktūra</w:t>
      </w:r>
      <w:bookmarkEnd w:id="135"/>
      <w:r>
        <w:t xml:space="preserve"> zinātniskajās institūcijās</w:t>
      </w:r>
      <w:bookmarkEnd w:id="136"/>
    </w:p>
    <w:tbl>
      <w:tblPr>
        <w:tblW w:w="0" w:type="auto"/>
        <w:tblInd w:w="-572" w:type="dxa"/>
        <w:tblLook w:val="04A0" w:firstRow="1" w:lastRow="0" w:firstColumn="1" w:lastColumn="0" w:noHBand="0" w:noVBand="1"/>
      </w:tblPr>
      <w:tblGrid>
        <w:gridCol w:w="8874"/>
      </w:tblGrid>
      <w:tr w:rsidR="004A78A9" w:rsidRPr="00EE1C5B" w14:paraId="45F0CF38" w14:textId="77777777" w:rsidTr="004A78A9">
        <w:trPr>
          <w:trHeight w:val="264"/>
        </w:trPr>
        <w:tc>
          <w:tcPr>
            <w:tcW w:w="9470" w:type="dxa"/>
            <w:tcBorders>
              <w:top w:val="single" w:sz="4" w:space="0" w:color="auto"/>
              <w:left w:val="single" w:sz="4" w:space="0" w:color="auto"/>
              <w:bottom w:val="single" w:sz="4" w:space="0" w:color="auto"/>
              <w:right w:val="single" w:sz="4" w:space="0" w:color="auto"/>
            </w:tcBorders>
            <w:shd w:val="clear" w:color="auto" w:fill="222A35" w:themeFill="text2" w:themeFillShade="80"/>
          </w:tcPr>
          <w:p w14:paraId="2DBCFADE" w14:textId="77777777" w:rsidR="004A78A9" w:rsidRPr="00EE1C5B" w:rsidRDefault="004A78A9" w:rsidP="004A78A9">
            <w:pPr>
              <w:spacing w:before="0" w:after="0"/>
              <w:jc w:val="center"/>
              <w:rPr>
                <w:rFonts w:ascii="Calibri" w:eastAsia="Times New Roman" w:hAnsi="Calibri" w:cs="Times New Roman"/>
                <w:b/>
                <w:bCs/>
                <w:color w:val="FFFFFF" w:themeColor="background1"/>
                <w:sz w:val="24"/>
                <w:lang w:eastAsia="lv-LV"/>
              </w:rPr>
            </w:pPr>
            <w:r w:rsidRPr="00151A3F">
              <w:rPr>
                <w:b/>
              </w:rPr>
              <w:t xml:space="preserve">Latvijas </w:t>
            </w:r>
            <w:r>
              <w:rPr>
                <w:b/>
              </w:rPr>
              <w:t>Organiskās sintēzes</w:t>
            </w:r>
            <w:r w:rsidRPr="00151A3F">
              <w:rPr>
                <w:b/>
              </w:rPr>
              <w:t xml:space="preserve"> institūts</w:t>
            </w:r>
          </w:p>
        </w:tc>
      </w:tr>
      <w:tr w:rsidR="004A78A9" w:rsidRPr="00151A3F" w14:paraId="3DB10090" w14:textId="77777777" w:rsidTr="004A78A9">
        <w:trPr>
          <w:trHeight w:val="600"/>
        </w:trPr>
        <w:tc>
          <w:tcPr>
            <w:tcW w:w="9470" w:type="dxa"/>
            <w:tcBorders>
              <w:top w:val="single" w:sz="4" w:space="0" w:color="auto"/>
              <w:left w:val="single" w:sz="4" w:space="0" w:color="auto"/>
              <w:bottom w:val="single" w:sz="4" w:space="0" w:color="auto"/>
              <w:right w:val="single" w:sz="4" w:space="0" w:color="auto"/>
            </w:tcBorders>
            <w:shd w:val="clear" w:color="auto" w:fill="auto"/>
            <w:vAlign w:val="bottom"/>
          </w:tcPr>
          <w:p w14:paraId="424A7681" w14:textId="77777777" w:rsidR="004A78A9" w:rsidRPr="00151A3F" w:rsidRDefault="004A78A9" w:rsidP="004A78A9">
            <w:pPr>
              <w:spacing w:before="0" w:after="0"/>
              <w:rPr>
                <w:rFonts w:ascii="Calibri" w:hAnsi="Calibri"/>
                <w:color w:val="000000"/>
              </w:rPr>
            </w:pPr>
            <w:r w:rsidRPr="00151A3F">
              <w:rPr>
                <w:rFonts w:ascii="Calibri" w:hAnsi="Calibri"/>
                <w:color w:val="000000"/>
              </w:rPr>
              <w:t>KMR spektrometri (200MHz, 400MHz un 600MHz) ar dažādām zondēm un piederumiem, tai skaitā CP/MAS-zonde cietvielu spektru uzņemšanai un LC/NMR iekārta</w:t>
            </w:r>
          </w:p>
        </w:tc>
      </w:tr>
      <w:tr w:rsidR="004A78A9" w:rsidRPr="00151A3F" w14:paraId="31F567EA" w14:textId="77777777" w:rsidTr="004A78A9">
        <w:trPr>
          <w:trHeight w:val="600"/>
        </w:trPr>
        <w:tc>
          <w:tcPr>
            <w:tcW w:w="9470" w:type="dxa"/>
            <w:tcBorders>
              <w:top w:val="single" w:sz="4" w:space="0" w:color="auto"/>
              <w:left w:val="single" w:sz="4" w:space="0" w:color="auto"/>
              <w:bottom w:val="single" w:sz="4" w:space="0" w:color="auto"/>
              <w:right w:val="single" w:sz="4" w:space="0" w:color="auto"/>
            </w:tcBorders>
            <w:shd w:val="clear" w:color="auto" w:fill="auto"/>
            <w:vAlign w:val="bottom"/>
          </w:tcPr>
          <w:p w14:paraId="4A6F7C03" w14:textId="77777777" w:rsidR="004A78A9" w:rsidRPr="00151A3F" w:rsidRDefault="004A78A9" w:rsidP="004A78A9">
            <w:pPr>
              <w:spacing w:before="0" w:after="0"/>
              <w:rPr>
                <w:rFonts w:ascii="Calibri" w:hAnsi="Calibri"/>
                <w:color w:val="000000"/>
              </w:rPr>
            </w:pPr>
            <w:r w:rsidRPr="00151A3F">
              <w:rPr>
                <w:rFonts w:ascii="Calibri" w:hAnsi="Calibri"/>
                <w:color w:val="000000"/>
              </w:rPr>
              <w:t>Dažādas spektroskopijas iekārtas, tai skaitā EPR un FTIR spektrometri, masspektrometrijas iekārtas un rentgenstaru difraktometri monokristālu un pulverveida vielu pētīšanai</w:t>
            </w:r>
          </w:p>
        </w:tc>
      </w:tr>
      <w:tr w:rsidR="004A78A9" w:rsidRPr="00151A3F" w14:paraId="58B3CFDF" w14:textId="77777777" w:rsidTr="004A78A9">
        <w:trPr>
          <w:trHeight w:val="600"/>
        </w:trPr>
        <w:tc>
          <w:tcPr>
            <w:tcW w:w="9470" w:type="dxa"/>
            <w:tcBorders>
              <w:top w:val="single" w:sz="4" w:space="0" w:color="auto"/>
              <w:left w:val="single" w:sz="4" w:space="0" w:color="auto"/>
              <w:bottom w:val="single" w:sz="4" w:space="0" w:color="auto"/>
              <w:right w:val="single" w:sz="4" w:space="0" w:color="auto"/>
            </w:tcBorders>
            <w:shd w:val="clear" w:color="auto" w:fill="auto"/>
            <w:vAlign w:val="bottom"/>
          </w:tcPr>
          <w:p w14:paraId="2EA05A45" w14:textId="77777777" w:rsidR="004A78A9" w:rsidRPr="00151A3F" w:rsidRDefault="004A78A9" w:rsidP="004A78A9">
            <w:pPr>
              <w:spacing w:before="0" w:after="0"/>
              <w:rPr>
                <w:rFonts w:ascii="Calibri" w:hAnsi="Calibri"/>
                <w:color w:val="000000"/>
              </w:rPr>
            </w:pPr>
            <w:r w:rsidRPr="00151A3F">
              <w:rPr>
                <w:rFonts w:ascii="Calibri" w:hAnsi="Calibri"/>
                <w:color w:val="000000"/>
              </w:rPr>
              <w:t>Iekārtu komplekts aktīvo farmaceitisko vielu un gatavo zāļu formu stabilitātes pārbaudēm</w:t>
            </w:r>
          </w:p>
        </w:tc>
      </w:tr>
      <w:tr w:rsidR="004A78A9" w:rsidRPr="00151A3F" w14:paraId="32D1ECCE" w14:textId="77777777" w:rsidTr="004A78A9">
        <w:trPr>
          <w:trHeight w:val="600"/>
        </w:trPr>
        <w:tc>
          <w:tcPr>
            <w:tcW w:w="9470" w:type="dxa"/>
            <w:tcBorders>
              <w:top w:val="single" w:sz="4" w:space="0" w:color="auto"/>
              <w:left w:val="single" w:sz="4" w:space="0" w:color="auto"/>
              <w:bottom w:val="single" w:sz="4" w:space="0" w:color="auto"/>
              <w:right w:val="single" w:sz="4" w:space="0" w:color="auto"/>
            </w:tcBorders>
            <w:shd w:val="clear" w:color="auto" w:fill="auto"/>
            <w:vAlign w:val="bottom"/>
          </w:tcPr>
          <w:p w14:paraId="053A90CE" w14:textId="77777777" w:rsidR="004A78A9" w:rsidRPr="00151A3F" w:rsidRDefault="004A78A9" w:rsidP="004A78A9">
            <w:pPr>
              <w:spacing w:before="0" w:after="0"/>
              <w:rPr>
                <w:rFonts w:ascii="Calibri" w:hAnsi="Calibri"/>
                <w:color w:val="000000"/>
              </w:rPr>
            </w:pPr>
            <w:r w:rsidRPr="00151A3F">
              <w:rPr>
                <w:rFonts w:ascii="Calibri" w:hAnsi="Calibri"/>
                <w:color w:val="000000"/>
              </w:rPr>
              <w:t>Iekārtas farmakoloģiskajiem un bioloģiskajiem pētījumiem</w:t>
            </w:r>
          </w:p>
        </w:tc>
      </w:tr>
      <w:tr w:rsidR="004A78A9" w:rsidRPr="00151A3F" w14:paraId="68E63661" w14:textId="77777777" w:rsidTr="004A78A9">
        <w:trPr>
          <w:trHeight w:val="600"/>
        </w:trPr>
        <w:tc>
          <w:tcPr>
            <w:tcW w:w="9470" w:type="dxa"/>
            <w:tcBorders>
              <w:top w:val="single" w:sz="4" w:space="0" w:color="auto"/>
              <w:left w:val="single" w:sz="4" w:space="0" w:color="auto"/>
              <w:bottom w:val="single" w:sz="4" w:space="0" w:color="auto"/>
              <w:right w:val="single" w:sz="4" w:space="0" w:color="auto"/>
            </w:tcBorders>
            <w:shd w:val="clear" w:color="auto" w:fill="auto"/>
            <w:vAlign w:val="bottom"/>
          </w:tcPr>
          <w:p w14:paraId="4E3CC945" w14:textId="77777777" w:rsidR="004A78A9" w:rsidRDefault="004A78A9" w:rsidP="004A78A9">
            <w:pPr>
              <w:spacing w:before="0" w:after="0"/>
              <w:rPr>
                <w:rFonts w:ascii="Calibri" w:hAnsi="Calibri"/>
                <w:color w:val="000000"/>
              </w:rPr>
            </w:pPr>
            <w:r w:rsidRPr="00151A3F">
              <w:rPr>
                <w:rFonts w:ascii="Calibri" w:hAnsi="Calibri"/>
                <w:color w:val="000000"/>
              </w:rPr>
              <w:t>HromLab Alliance (4 gab.),</w:t>
            </w:r>
          </w:p>
          <w:p w14:paraId="3A7656A1" w14:textId="2B6199DB" w:rsidR="004A78A9" w:rsidRPr="00151A3F" w:rsidRDefault="004A78A9" w:rsidP="004A78A9">
            <w:pPr>
              <w:spacing w:before="0" w:after="0"/>
              <w:rPr>
                <w:rFonts w:ascii="Calibri" w:hAnsi="Calibri"/>
                <w:color w:val="000000"/>
              </w:rPr>
            </w:pPr>
            <w:r w:rsidRPr="00151A3F">
              <w:rPr>
                <w:rFonts w:ascii="Calibri" w:hAnsi="Calibri"/>
                <w:color w:val="000000"/>
              </w:rPr>
              <w:t>HromLab Carlo Erba Elemental Analyser un HromLab Costech Elemental Analyser - Elemental Combustion System</w:t>
            </w:r>
          </w:p>
        </w:tc>
      </w:tr>
      <w:tr w:rsidR="004A78A9" w:rsidRPr="00151A3F" w14:paraId="21B209AC" w14:textId="77777777" w:rsidTr="004A78A9">
        <w:trPr>
          <w:trHeight w:val="600"/>
        </w:trPr>
        <w:tc>
          <w:tcPr>
            <w:tcW w:w="9470" w:type="dxa"/>
            <w:tcBorders>
              <w:top w:val="single" w:sz="4" w:space="0" w:color="auto"/>
              <w:left w:val="single" w:sz="4" w:space="0" w:color="auto"/>
              <w:bottom w:val="single" w:sz="4" w:space="0" w:color="auto"/>
              <w:right w:val="single" w:sz="4" w:space="0" w:color="auto"/>
            </w:tcBorders>
            <w:shd w:val="clear" w:color="auto" w:fill="auto"/>
            <w:vAlign w:val="bottom"/>
          </w:tcPr>
          <w:p w14:paraId="62C1038C" w14:textId="77777777" w:rsidR="004A78A9" w:rsidRPr="00151A3F" w:rsidRDefault="004A78A9" w:rsidP="004A78A9">
            <w:pPr>
              <w:spacing w:before="0" w:after="0"/>
              <w:rPr>
                <w:rFonts w:ascii="Calibri" w:hAnsi="Calibri"/>
                <w:color w:val="000000"/>
              </w:rPr>
            </w:pPr>
            <w:r w:rsidRPr="00151A3F">
              <w:rPr>
                <w:rFonts w:ascii="Calibri" w:hAnsi="Calibri"/>
                <w:color w:val="000000"/>
              </w:rPr>
              <w:t>HromLab Polarimetrs</w:t>
            </w:r>
          </w:p>
        </w:tc>
      </w:tr>
      <w:tr w:rsidR="004A78A9" w:rsidRPr="00151A3F" w14:paraId="4D1C37AE" w14:textId="77777777" w:rsidTr="004A78A9">
        <w:trPr>
          <w:trHeight w:val="600"/>
        </w:trPr>
        <w:tc>
          <w:tcPr>
            <w:tcW w:w="9470" w:type="dxa"/>
            <w:tcBorders>
              <w:top w:val="single" w:sz="4" w:space="0" w:color="auto"/>
              <w:left w:val="single" w:sz="4" w:space="0" w:color="auto"/>
              <w:bottom w:val="single" w:sz="4" w:space="0" w:color="auto"/>
              <w:right w:val="single" w:sz="4" w:space="0" w:color="auto"/>
            </w:tcBorders>
            <w:shd w:val="clear" w:color="auto" w:fill="auto"/>
            <w:vAlign w:val="bottom"/>
          </w:tcPr>
          <w:p w14:paraId="4629CFF8" w14:textId="77777777" w:rsidR="004A78A9" w:rsidRPr="00151A3F" w:rsidRDefault="004A78A9" w:rsidP="004A78A9">
            <w:pPr>
              <w:spacing w:before="0" w:after="0"/>
              <w:rPr>
                <w:rFonts w:ascii="Calibri" w:hAnsi="Calibri"/>
                <w:color w:val="000000"/>
              </w:rPr>
            </w:pPr>
            <w:r w:rsidRPr="00151A3F">
              <w:rPr>
                <w:rFonts w:ascii="Calibri" w:hAnsi="Calibri"/>
                <w:color w:val="000000"/>
              </w:rPr>
              <w:t>Izotermiskais titrācijas kalorimetrs</w:t>
            </w:r>
          </w:p>
        </w:tc>
      </w:tr>
      <w:tr w:rsidR="004A78A9" w:rsidRPr="00151A3F" w14:paraId="2B9B446F" w14:textId="77777777" w:rsidTr="004A78A9">
        <w:trPr>
          <w:trHeight w:val="600"/>
        </w:trPr>
        <w:tc>
          <w:tcPr>
            <w:tcW w:w="9470" w:type="dxa"/>
            <w:tcBorders>
              <w:top w:val="single" w:sz="4" w:space="0" w:color="auto"/>
              <w:left w:val="single" w:sz="4" w:space="0" w:color="auto"/>
              <w:bottom w:val="single" w:sz="4" w:space="0" w:color="auto"/>
              <w:right w:val="single" w:sz="4" w:space="0" w:color="auto"/>
            </w:tcBorders>
            <w:shd w:val="clear" w:color="auto" w:fill="auto"/>
            <w:vAlign w:val="bottom"/>
          </w:tcPr>
          <w:p w14:paraId="4E90FF34" w14:textId="77777777" w:rsidR="004A78A9" w:rsidRPr="00151A3F" w:rsidRDefault="004A78A9" w:rsidP="004A78A9">
            <w:pPr>
              <w:spacing w:before="0" w:after="0"/>
              <w:rPr>
                <w:rFonts w:ascii="Calibri" w:hAnsi="Calibri"/>
                <w:color w:val="000000"/>
              </w:rPr>
            </w:pPr>
            <w:r w:rsidRPr="00151A3F">
              <w:rPr>
                <w:rFonts w:ascii="Calibri" w:hAnsi="Calibri"/>
                <w:color w:val="000000"/>
              </w:rPr>
              <w:t>Microvolume UV-VIS spektrofotometrs</w:t>
            </w:r>
          </w:p>
        </w:tc>
      </w:tr>
      <w:tr w:rsidR="004A78A9" w:rsidRPr="00151A3F" w14:paraId="6E1FBA82" w14:textId="77777777" w:rsidTr="004A78A9">
        <w:trPr>
          <w:trHeight w:val="600"/>
        </w:trPr>
        <w:tc>
          <w:tcPr>
            <w:tcW w:w="9470" w:type="dxa"/>
            <w:tcBorders>
              <w:top w:val="single" w:sz="4" w:space="0" w:color="auto"/>
              <w:left w:val="single" w:sz="4" w:space="0" w:color="auto"/>
              <w:bottom w:val="single" w:sz="4" w:space="0" w:color="auto"/>
              <w:right w:val="single" w:sz="4" w:space="0" w:color="auto"/>
            </w:tcBorders>
            <w:shd w:val="clear" w:color="auto" w:fill="auto"/>
            <w:vAlign w:val="bottom"/>
          </w:tcPr>
          <w:p w14:paraId="7E9D284B" w14:textId="77777777" w:rsidR="004A78A9" w:rsidRPr="00151A3F" w:rsidRDefault="004A78A9" w:rsidP="004A78A9">
            <w:pPr>
              <w:spacing w:before="0" w:after="0"/>
              <w:rPr>
                <w:rFonts w:ascii="Calibri" w:hAnsi="Calibri"/>
                <w:color w:val="000000"/>
              </w:rPr>
            </w:pPr>
            <w:r w:rsidRPr="00151A3F">
              <w:rPr>
                <w:rFonts w:ascii="Calibri" w:hAnsi="Calibri"/>
                <w:color w:val="000000"/>
              </w:rPr>
              <w:t>Virsmas PLASMON rezonanse (SPR) Biosensors</w:t>
            </w:r>
          </w:p>
        </w:tc>
      </w:tr>
      <w:tr w:rsidR="004A78A9" w:rsidRPr="00CD6357" w14:paraId="6D33F713" w14:textId="77777777" w:rsidTr="004A78A9">
        <w:trPr>
          <w:trHeight w:val="216"/>
        </w:trPr>
        <w:tc>
          <w:tcPr>
            <w:tcW w:w="9470" w:type="dxa"/>
            <w:tcBorders>
              <w:top w:val="single" w:sz="4" w:space="0" w:color="auto"/>
              <w:left w:val="single" w:sz="4" w:space="0" w:color="auto"/>
              <w:bottom w:val="single" w:sz="4" w:space="0" w:color="auto"/>
              <w:right w:val="single" w:sz="4" w:space="0" w:color="auto"/>
            </w:tcBorders>
            <w:shd w:val="clear" w:color="auto" w:fill="222A35" w:themeFill="text2" w:themeFillShade="80"/>
            <w:vAlign w:val="bottom"/>
          </w:tcPr>
          <w:p w14:paraId="5242F168" w14:textId="77777777" w:rsidR="004A78A9" w:rsidRPr="00CD6357" w:rsidRDefault="004A78A9" w:rsidP="004A78A9">
            <w:pPr>
              <w:spacing w:before="0" w:after="0"/>
              <w:jc w:val="center"/>
              <w:rPr>
                <w:b/>
              </w:rPr>
            </w:pPr>
            <w:r w:rsidRPr="00CD6357">
              <w:rPr>
                <w:b/>
              </w:rPr>
              <w:t>Latvijas Biomedicīnas pētījumu un studiju centrs</w:t>
            </w:r>
          </w:p>
        </w:tc>
      </w:tr>
      <w:tr w:rsidR="004A78A9" w:rsidRPr="00151A3F" w14:paraId="2A6DACCE" w14:textId="77777777" w:rsidTr="004A78A9">
        <w:trPr>
          <w:trHeight w:val="600"/>
        </w:trPr>
        <w:tc>
          <w:tcPr>
            <w:tcW w:w="9470" w:type="dxa"/>
            <w:tcBorders>
              <w:top w:val="single" w:sz="4" w:space="0" w:color="auto"/>
              <w:left w:val="single" w:sz="4" w:space="0" w:color="auto"/>
              <w:bottom w:val="single" w:sz="4" w:space="0" w:color="auto"/>
              <w:right w:val="single" w:sz="4" w:space="0" w:color="auto"/>
            </w:tcBorders>
            <w:shd w:val="clear" w:color="auto" w:fill="auto"/>
            <w:vAlign w:val="bottom"/>
          </w:tcPr>
          <w:p w14:paraId="7D9A7B00" w14:textId="77777777" w:rsidR="004A78A9" w:rsidRPr="00151A3F" w:rsidRDefault="004A78A9" w:rsidP="004A78A9">
            <w:pPr>
              <w:spacing w:before="0" w:after="0"/>
              <w:rPr>
                <w:rFonts w:ascii="Calibri" w:hAnsi="Calibri"/>
                <w:color w:val="000000"/>
              </w:rPr>
            </w:pPr>
            <w:r w:rsidRPr="00151A3F">
              <w:rPr>
                <w:rFonts w:ascii="Calibri" w:hAnsi="Calibri"/>
                <w:color w:val="000000"/>
              </w:rPr>
              <w:t>Ion Proton™ un Ion PGM™ sekvenatori (Life Technologies) un saistītās iekārtas (ultraskaņas dezintegrācijas sistēma "Covaris S220 AFA", Pippin Prep™, IKAR Ultra-Turrax, Qubit® 2.0 Fluorometer, Agilent 2100 Bioanalyzer)</w:t>
            </w:r>
          </w:p>
        </w:tc>
      </w:tr>
      <w:tr w:rsidR="004A78A9" w:rsidRPr="00151A3F" w14:paraId="134E2413" w14:textId="77777777" w:rsidTr="004A78A9">
        <w:trPr>
          <w:trHeight w:val="600"/>
        </w:trPr>
        <w:tc>
          <w:tcPr>
            <w:tcW w:w="9470" w:type="dxa"/>
            <w:tcBorders>
              <w:top w:val="single" w:sz="4" w:space="0" w:color="auto"/>
              <w:left w:val="single" w:sz="4" w:space="0" w:color="auto"/>
              <w:bottom w:val="single" w:sz="4" w:space="0" w:color="auto"/>
              <w:right w:val="single" w:sz="4" w:space="0" w:color="auto"/>
            </w:tcBorders>
            <w:shd w:val="clear" w:color="auto" w:fill="auto"/>
            <w:vAlign w:val="bottom"/>
          </w:tcPr>
          <w:p w14:paraId="4C8B33C6" w14:textId="77777777" w:rsidR="004A78A9" w:rsidRPr="00151A3F" w:rsidRDefault="004A78A9" w:rsidP="004A78A9">
            <w:pPr>
              <w:spacing w:before="0" w:after="0"/>
              <w:rPr>
                <w:rFonts w:ascii="Calibri" w:hAnsi="Calibri"/>
                <w:color w:val="000000"/>
              </w:rPr>
            </w:pPr>
            <w:r w:rsidRPr="00151A3F">
              <w:rPr>
                <w:rFonts w:ascii="Calibri" w:hAnsi="Calibri"/>
                <w:color w:val="000000"/>
              </w:rPr>
              <w:t>Ģenētiskais analizators 3100 (Applied Biosystems)</w:t>
            </w:r>
          </w:p>
        </w:tc>
      </w:tr>
      <w:tr w:rsidR="004A78A9" w:rsidRPr="00151A3F" w14:paraId="750FA88B" w14:textId="77777777" w:rsidTr="004A78A9">
        <w:trPr>
          <w:trHeight w:val="600"/>
        </w:trPr>
        <w:tc>
          <w:tcPr>
            <w:tcW w:w="9470" w:type="dxa"/>
            <w:tcBorders>
              <w:top w:val="single" w:sz="4" w:space="0" w:color="auto"/>
              <w:left w:val="single" w:sz="4" w:space="0" w:color="auto"/>
              <w:bottom w:val="single" w:sz="4" w:space="0" w:color="auto"/>
              <w:right w:val="single" w:sz="4" w:space="0" w:color="auto"/>
            </w:tcBorders>
            <w:shd w:val="clear" w:color="auto" w:fill="auto"/>
            <w:vAlign w:val="bottom"/>
          </w:tcPr>
          <w:p w14:paraId="37CAAB05" w14:textId="77777777" w:rsidR="004A78A9" w:rsidRPr="00151A3F" w:rsidRDefault="004A78A9" w:rsidP="004A78A9">
            <w:pPr>
              <w:spacing w:before="0" w:after="0"/>
              <w:rPr>
                <w:rFonts w:ascii="Calibri" w:hAnsi="Calibri"/>
                <w:color w:val="000000"/>
              </w:rPr>
            </w:pPr>
            <w:r w:rsidRPr="00151A3F">
              <w:rPr>
                <w:rFonts w:ascii="Calibri" w:hAnsi="Calibri"/>
                <w:color w:val="000000"/>
              </w:rPr>
              <w:t>DNS amplifikācijas un sekvenēšanas analizēšanas sistēma 3130 XL (Applied Biosystems)</w:t>
            </w:r>
          </w:p>
        </w:tc>
      </w:tr>
      <w:tr w:rsidR="004A78A9" w:rsidRPr="00151A3F" w14:paraId="4AB5A25D" w14:textId="77777777" w:rsidTr="004A78A9">
        <w:trPr>
          <w:trHeight w:val="600"/>
        </w:trPr>
        <w:tc>
          <w:tcPr>
            <w:tcW w:w="9470" w:type="dxa"/>
            <w:tcBorders>
              <w:top w:val="single" w:sz="4" w:space="0" w:color="auto"/>
              <w:left w:val="single" w:sz="4" w:space="0" w:color="auto"/>
              <w:bottom w:val="single" w:sz="4" w:space="0" w:color="auto"/>
              <w:right w:val="single" w:sz="4" w:space="0" w:color="auto"/>
            </w:tcBorders>
            <w:shd w:val="clear" w:color="auto" w:fill="auto"/>
            <w:vAlign w:val="bottom"/>
          </w:tcPr>
          <w:p w14:paraId="435B1DED" w14:textId="77777777" w:rsidR="004A78A9" w:rsidRDefault="004A78A9" w:rsidP="004A78A9">
            <w:pPr>
              <w:spacing w:before="0" w:after="0"/>
              <w:rPr>
                <w:rFonts w:ascii="Calibri" w:hAnsi="Calibri"/>
                <w:color w:val="000000"/>
              </w:rPr>
            </w:pPr>
            <w:r w:rsidRPr="00151A3F">
              <w:rPr>
                <w:rFonts w:ascii="Calibri" w:hAnsi="Calibri"/>
                <w:color w:val="000000"/>
              </w:rPr>
              <w:t>PCR: GeneAmp® PCR System 9700 (Applied Biosystems);</w:t>
            </w:r>
          </w:p>
          <w:p w14:paraId="456B8996" w14:textId="77777777" w:rsidR="004A78A9" w:rsidRDefault="004A78A9" w:rsidP="004A78A9">
            <w:pPr>
              <w:spacing w:before="0" w:after="0"/>
              <w:rPr>
                <w:rFonts w:ascii="Calibri" w:hAnsi="Calibri"/>
                <w:color w:val="000000"/>
              </w:rPr>
            </w:pPr>
            <w:r w:rsidRPr="00151A3F">
              <w:rPr>
                <w:rFonts w:ascii="Calibri" w:hAnsi="Calibri"/>
                <w:color w:val="000000"/>
              </w:rPr>
              <w:t>Eppendorf Mastercycler® Thermal Cycler (Eppendorf);</w:t>
            </w:r>
          </w:p>
          <w:p w14:paraId="74C1D281" w14:textId="4C4FB9BA" w:rsidR="004A78A9" w:rsidRPr="00151A3F" w:rsidRDefault="004A78A9" w:rsidP="004A78A9">
            <w:pPr>
              <w:spacing w:before="0" w:after="0"/>
              <w:rPr>
                <w:rFonts w:ascii="Calibri" w:hAnsi="Calibri"/>
                <w:color w:val="000000"/>
              </w:rPr>
            </w:pPr>
            <w:r w:rsidRPr="00151A3F">
              <w:rPr>
                <w:rFonts w:ascii="Calibri" w:hAnsi="Calibri"/>
                <w:color w:val="000000"/>
              </w:rPr>
              <w:t>Veriti™ Dx 96-Well Thermal Cycler (Applied Biosystems)</w:t>
            </w:r>
          </w:p>
        </w:tc>
      </w:tr>
      <w:tr w:rsidR="004A78A9" w:rsidRPr="00151A3F" w14:paraId="0BAA1149" w14:textId="77777777" w:rsidTr="004A78A9">
        <w:trPr>
          <w:trHeight w:val="600"/>
        </w:trPr>
        <w:tc>
          <w:tcPr>
            <w:tcW w:w="9470" w:type="dxa"/>
            <w:tcBorders>
              <w:top w:val="single" w:sz="4" w:space="0" w:color="auto"/>
              <w:left w:val="single" w:sz="4" w:space="0" w:color="auto"/>
              <w:bottom w:val="single" w:sz="4" w:space="0" w:color="auto"/>
              <w:right w:val="single" w:sz="4" w:space="0" w:color="auto"/>
            </w:tcBorders>
            <w:shd w:val="clear" w:color="auto" w:fill="auto"/>
            <w:vAlign w:val="bottom"/>
          </w:tcPr>
          <w:p w14:paraId="512F07F4" w14:textId="77777777" w:rsidR="004A78A9" w:rsidRDefault="004A78A9" w:rsidP="004A78A9">
            <w:pPr>
              <w:spacing w:before="0" w:after="0"/>
              <w:rPr>
                <w:rFonts w:ascii="Calibri" w:hAnsi="Calibri"/>
                <w:color w:val="000000"/>
              </w:rPr>
            </w:pPr>
            <w:r w:rsidRPr="00151A3F">
              <w:rPr>
                <w:rFonts w:ascii="Calibri" w:hAnsi="Calibri"/>
                <w:color w:val="000000"/>
              </w:rPr>
              <w:t>Reālā laika PCR:</w:t>
            </w:r>
          </w:p>
          <w:p w14:paraId="045C459E" w14:textId="77777777" w:rsidR="004A78A9" w:rsidRDefault="004A78A9" w:rsidP="004A78A9">
            <w:pPr>
              <w:spacing w:before="0" w:after="0"/>
              <w:rPr>
                <w:rFonts w:ascii="Calibri" w:hAnsi="Calibri"/>
                <w:color w:val="000000"/>
              </w:rPr>
            </w:pPr>
            <w:r w:rsidRPr="00151A3F">
              <w:rPr>
                <w:rFonts w:ascii="Calibri" w:hAnsi="Calibri"/>
                <w:color w:val="000000"/>
              </w:rPr>
              <w:t>7500 Real-Time PCR System (Applied Biosystems);</w:t>
            </w:r>
          </w:p>
          <w:p w14:paraId="5C44857A" w14:textId="77777777" w:rsidR="004A78A9" w:rsidRDefault="004A78A9" w:rsidP="004A78A9">
            <w:pPr>
              <w:spacing w:before="0" w:after="0"/>
              <w:rPr>
                <w:rFonts w:ascii="Calibri" w:hAnsi="Calibri"/>
                <w:color w:val="000000"/>
              </w:rPr>
            </w:pPr>
            <w:r w:rsidRPr="00151A3F">
              <w:rPr>
                <w:rFonts w:ascii="Calibri" w:hAnsi="Calibri"/>
                <w:color w:val="000000"/>
              </w:rPr>
              <w:t>ViiA™ 7 Real-Time PCR System (Applied Biosystems);</w:t>
            </w:r>
          </w:p>
          <w:p w14:paraId="35229B3C" w14:textId="7FF39EB4" w:rsidR="004A78A9" w:rsidRPr="00151A3F" w:rsidRDefault="004A78A9" w:rsidP="004A78A9">
            <w:pPr>
              <w:spacing w:before="0" w:after="0"/>
              <w:rPr>
                <w:rFonts w:ascii="Calibri" w:hAnsi="Calibri"/>
                <w:color w:val="000000"/>
              </w:rPr>
            </w:pPr>
            <w:r w:rsidRPr="00151A3F">
              <w:rPr>
                <w:rFonts w:ascii="Calibri" w:hAnsi="Calibri"/>
                <w:color w:val="000000"/>
              </w:rPr>
              <w:t xml:space="preserve">ViiA™ 7 Real-Time PCR System (Applied Biosystems) </w:t>
            </w:r>
          </w:p>
        </w:tc>
      </w:tr>
      <w:tr w:rsidR="004A78A9" w:rsidRPr="00151A3F" w14:paraId="5B2C5704" w14:textId="77777777" w:rsidTr="004A78A9">
        <w:trPr>
          <w:trHeight w:val="600"/>
        </w:trPr>
        <w:tc>
          <w:tcPr>
            <w:tcW w:w="9470" w:type="dxa"/>
            <w:tcBorders>
              <w:top w:val="single" w:sz="4" w:space="0" w:color="auto"/>
              <w:left w:val="single" w:sz="4" w:space="0" w:color="auto"/>
              <w:bottom w:val="single" w:sz="4" w:space="0" w:color="auto"/>
              <w:right w:val="single" w:sz="4" w:space="0" w:color="auto"/>
            </w:tcBorders>
            <w:shd w:val="clear" w:color="auto" w:fill="auto"/>
            <w:vAlign w:val="bottom"/>
          </w:tcPr>
          <w:p w14:paraId="1665D1BF" w14:textId="77777777" w:rsidR="004A78A9" w:rsidRPr="00151A3F" w:rsidRDefault="004A78A9" w:rsidP="004A78A9">
            <w:pPr>
              <w:spacing w:before="0" w:after="0"/>
              <w:rPr>
                <w:rFonts w:ascii="Calibri" w:hAnsi="Calibri"/>
                <w:color w:val="000000"/>
              </w:rPr>
            </w:pPr>
            <w:r w:rsidRPr="00151A3F">
              <w:rPr>
                <w:rFonts w:ascii="Calibri" w:hAnsi="Calibri"/>
                <w:color w:val="000000"/>
              </w:rPr>
              <w:t>Beadxpress Reader (Illumina)</w:t>
            </w:r>
          </w:p>
        </w:tc>
      </w:tr>
      <w:tr w:rsidR="004A78A9" w:rsidRPr="00151A3F" w14:paraId="2899AA9C" w14:textId="77777777" w:rsidTr="004A78A9">
        <w:trPr>
          <w:trHeight w:val="600"/>
        </w:trPr>
        <w:tc>
          <w:tcPr>
            <w:tcW w:w="9470" w:type="dxa"/>
            <w:tcBorders>
              <w:top w:val="single" w:sz="4" w:space="0" w:color="auto"/>
              <w:left w:val="single" w:sz="4" w:space="0" w:color="auto"/>
              <w:bottom w:val="single" w:sz="4" w:space="0" w:color="auto"/>
              <w:right w:val="single" w:sz="4" w:space="0" w:color="auto"/>
            </w:tcBorders>
            <w:shd w:val="clear" w:color="auto" w:fill="auto"/>
            <w:vAlign w:val="bottom"/>
          </w:tcPr>
          <w:p w14:paraId="4F130AFF" w14:textId="77777777" w:rsidR="004A78A9" w:rsidRPr="00151A3F" w:rsidRDefault="004A78A9" w:rsidP="004A78A9">
            <w:pPr>
              <w:spacing w:before="0" w:after="0"/>
              <w:rPr>
                <w:rFonts w:ascii="Calibri" w:hAnsi="Calibri"/>
                <w:color w:val="000000"/>
              </w:rPr>
            </w:pPr>
            <w:r w:rsidRPr="00151A3F">
              <w:rPr>
                <w:rFonts w:ascii="Calibri" w:hAnsi="Calibri"/>
                <w:color w:val="000000"/>
              </w:rPr>
              <w:lastRenderedPageBreak/>
              <w:t>Autoflex MALDI-TOF sistēma (Bruker Daltonics)</w:t>
            </w:r>
          </w:p>
        </w:tc>
      </w:tr>
      <w:tr w:rsidR="004A78A9" w:rsidRPr="00151A3F" w14:paraId="7F6A5224" w14:textId="77777777" w:rsidTr="004A78A9">
        <w:trPr>
          <w:trHeight w:val="600"/>
        </w:trPr>
        <w:tc>
          <w:tcPr>
            <w:tcW w:w="9470" w:type="dxa"/>
            <w:tcBorders>
              <w:top w:val="single" w:sz="4" w:space="0" w:color="auto"/>
              <w:left w:val="single" w:sz="4" w:space="0" w:color="auto"/>
              <w:bottom w:val="single" w:sz="4" w:space="0" w:color="auto"/>
              <w:right w:val="single" w:sz="4" w:space="0" w:color="auto"/>
            </w:tcBorders>
            <w:shd w:val="clear" w:color="auto" w:fill="auto"/>
            <w:vAlign w:val="bottom"/>
          </w:tcPr>
          <w:p w14:paraId="2A32F193" w14:textId="77777777" w:rsidR="004A78A9" w:rsidRPr="00151A3F" w:rsidRDefault="004A78A9" w:rsidP="004A78A9">
            <w:pPr>
              <w:spacing w:before="0" w:after="0"/>
              <w:rPr>
                <w:rFonts w:ascii="Calibri" w:hAnsi="Calibri"/>
                <w:color w:val="000000"/>
              </w:rPr>
            </w:pPr>
            <w:r w:rsidRPr="00151A3F">
              <w:rPr>
                <w:rFonts w:ascii="Calibri" w:hAnsi="Calibri"/>
                <w:color w:val="000000"/>
              </w:rPr>
              <w:t>Robotizēta iekārta Tecan Freedom EVO</w:t>
            </w:r>
          </w:p>
        </w:tc>
      </w:tr>
      <w:tr w:rsidR="004A78A9" w:rsidRPr="00151A3F" w14:paraId="60E5C4A1" w14:textId="77777777" w:rsidTr="004A78A9">
        <w:trPr>
          <w:trHeight w:val="600"/>
        </w:trPr>
        <w:tc>
          <w:tcPr>
            <w:tcW w:w="9470" w:type="dxa"/>
            <w:tcBorders>
              <w:top w:val="single" w:sz="4" w:space="0" w:color="auto"/>
              <w:left w:val="single" w:sz="4" w:space="0" w:color="auto"/>
              <w:bottom w:val="single" w:sz="4" w:space="0" w:color="auto"/>
              <w:right w:val="single" w:sz="4" w:space="0" w:color="auto"/>
            </w:tcBorders>
            <w:shd w:val="clear" w:color="auto" w:fill="auto"/>
            <w:vAlign w:val="bottom"/>
          </w:tcPr>
          <w:p w14:paraId="2CDE22B2" w14:textId="77777777" w:rsidR="004A78A9" w:rsidRPr="00151A3F" w:rsidRDefault="004A78A9" w:rsidP="004A78A9">
            <w:pPr>
              <w:spacing w:before="0" w:after="0"/>
              <w:rPr>
                <w:rFonts w:ascii="Calibri" w:hAnsi="Calibri"/>
                <w:color w:val="000000"/>
              </w:rPr>
            </w:pPr>
            <w:r w:rsidRPr="00151A3F">
              <w:rPr>
                <w:rFonts w:ascii="Calibri" w:hAnsi="Calibri"/>
                <w:color w:val="000000"/>
              </w:rPr>
              <w:t>Mikročipu printeris Genetix QArray Mini</w:t>
            </w:r>
          </w:p>
        </w:tc>
      </w:tr>
      <w:tr w:rsidR="004A78A9" w:rsidRPr="00151A3F" w14:paraId="67FE2FD5" w14:textId="77777777" w:rsidTr="004A78A9">
        <w:trPr>
          <w:trHeight w:val="600"/>
        </w:trPr>
        <w:tc>
          <w:tcPr>
            <w:tcW w:w="9470" w:type="dxa"/>
            <w:tcBorders>
              <w:top w:val="single" w:sz="4" w:space="0" w:color="auto"/>
              <w:left w:val="single" w:sz="4" w:space="0" w:color="auto"/>
              <w:bottom w:val="single" w:sz="4" w:space="0" w:color="auto"/>
              <w:right w:val="single" w:sz="4" w:space="0" w:color="auto"/>
            </w:tcBorders>
            <w:shd w:val="clear" w:color="auto" w:fill="auto"/>
            <w:vAlign w:val="bottom"/>
          </w:tcPr>
          <w:p w14:paraId="69B536A4" w14:textId="77777777" w:rsidR="004A78A9" w:rsidRPr="00151A3F" w:rsidRDefault="004A78A9" w:rsidP="004A78A9">
            <w:pPr>
              <w:spacing w:before="0" w:after="0"/>
              <w:rPr>
                <w:rFonts w:ascii="Calibri" w:hAnsi="Calibri"/>
                <w:color w:val="000000"/>
              </w:rPr>
            </w:pPr>
            <w:r w:rsidRPr="00151A3F">
              <w:rPr>
                <w:rFonts w:ascii="Calibri" w:hAnsi="Calibri"/>
                <w:color w:val="000000"/>
              </w:rPr>
              <w:t>Mikročipu skeneris Genetix Aquire</w:t>
            </w:r>
          </w:p>
        </w:tc>
      </w:tr>
      <w:tr w:rsidR="004A78A9" w:rsidRPr="00151A3F" w14:paraId="003B89C1" w14:textId="77777777" w:rsidTr="004A78A9">
        <w:trPr>
          <w:trHeight w:val="600"/>
        </w:trPr>
        <w:tc>
          <w:tcPr>
            <w:tcW w:w="9470" w:type="dxa"/>
            <w:tcBorders>
              <w:top w:val="single" w:sz="4" w:space="0" w:color="auto"/>
              <w:left w:val="single" w:sz="4" w:space="0" w:color="auto"/>
              <w:bottom w:val="single" w:sz="4" w:space="0" w:color="auto"/>
              <w:right w:val="single" w:sz="4" w:space="0" w:color="auto"/>
            </w:tcBorders>
            <w:shd w:val="clear" w:color="auto" w:fill="auto"/>
            <w:vAlign w:val="bottom"/>
          </w:tcPr>
          <w:p w14:paraId="1D7DDAB1" w14:textId="77777777" w:rsidR="004A78A9" w:rsidRPr="00151A3F" w:rsidRDefault="004A78A9" w:rsidP="004A78A9">
            <w:pPr>
              <w:spacing w:before="0" w:after="0"/>
              <w:rPr>
                <w:rFonts w:ascii="Calibri" w:hAnsi="Calibri"/>
                <w:color w:val="000000"/>
              </w:rPr>
            </w:pPr>
            <w:r w:rsidRPr="00151A3F">
              <w:rPr>
                <w:rFonts w:ascii="Calibri" w:hAnsi="Calibri"/>
                <w:color w:val="000000"/>
              </w:rPr>
              <w:t>Mikročipu skeneris Tecan PowerScanner™</w:t>
            </w:r>
          </w:p>
        </w:tc>
      </w:tr>
      <w:tr w:rsidR="004A78A9" w:rsidRPr="00151A3F" w14:paraId="7D8C8B62" w14:textId="77777777" w:rsidTr="004A78A9">
        <w:trPr>
          <w:trHeight w:val="600"/>
        </w:trPr>
        <w:tc>
          <w:tcPr>
            <w:tcW w:w="9470" w:type="dxa"/>
            <w:tcBorders>
              <w:top w:val="single" w:sz="4" w:space="0" w:color="auto"/>
              <w:left w:val="single" w:sz="4" w:space="0" w:color="auto"/>
              <w:bottom w:val="single" w:sz="4" w:space="0" w:color="auto"/>
              <w:right w:val="single" w:sz="4" w:space="0" w:color="auto"/>
            </w:tcBorders>
            <w:shd w:val="clear" w:color="auto" w:fill="auto"/>
            <w:vAlign w:val="bottom"/>
          </w:tcPr>
          <w:p w14:paraId="07204F3D" w14:textId="77777777" w:rsidR="004A78A9" w:rsidRPr="00151A3F" w:rsidRDefault="004A78A9" w:rsidP="004A78A9">
            <w:pPr>
              <w:spacing w:before="0" w:after="0"/>
              <w:rPr>
                <w:rFonts w:ascii="Calibri" w:hAnsi="Calibri"/>
                <w:color w:val="000000"/>
              </w:rPr>
            </w:pPr>
            <w:r w:rsidRPr="00151A3F">
              <w:rPr>
                <w:rFonts w:ascii="Calibri" w:hAnsi="Calibri"/>
                <w:color w:val="000000"/>
              </w:rPr>
              <w:t>Fluorescences mikroskops ar integrētu Hofmana modulācijas kontrasta ierīci</w:t>
            </w:r>
          </w:p>
        </w:tc>
      </w:tr>
      <w:tr w:rsidR="004A78A9" w:rsidRPr="00151A3F" w14:paraId="1B0C6C12" w14:textId="77777777" w:rsidTr="004A78A9">
        <w:trPr>
          <w:trHeight w:val="600"/>
        </w:trPr>
        <w:tc>
          <w:tcPr>
            <w:tcW w:w="9470" w:type="dxa"/>
            <w:tcBorders>
              <w:top w:val="single" w:sz="4" w:space="0" w:color="auto"/>
              <w:left w:val="single" w:sz="4" w:space="0" w:color="auto"/>
              <w:bottom w:val="single" w:sz="4" w:space="0" w:color="auto"/>
              <w:right w:val="single" w:sz="4" w:space="0" w:color="auto"/>
            </w:tcBorders>
            <w:shd w:val="clear" w:color="auto" w:fill="auto"/>
            <w:vAlign w:val="bottom"/>
          </w:tcPr>
          <w:p w14:paraId="13CC2DF9" w14:textId="77777777" w:rsidR="004A78A9" w:rsidRPr="00151A3F" w:rsidRDefault="004A78A9" w:rsidP="004A78A9">
            <w:pPr>
              <w:spacing w:before="0" w:after="0"/>
              <w:rPr>
                <w:rFonts w:ascii="Calibri" w:hAnsi="Calibri"/>
                <w:color w:val="000000"/>
              </w:rPr>
            </w:pPr>
            <w:r w:rsidRPr="00151A3F">
              <w:rPr>
                <w:rFonts w:ascii="Calibri" w:hAnsi="Calibri"/>
                <w:color w:val="000000"/>
              </w:rPr>
              <w:t>Fluorescences invertētie mikroskopi ar digitālo kameru Leica DM IL HC</w:t>
            </w:r>
          </w:p>
        </w:tc>
      </w:tr>
      <w:tr w:rsidR="004A78A9" w:rsidRPr="00151A3F" w14:paraId="38068571" w14:textId="77777777" w:rsidTr="004A78A9">
        <w:trPr>
          <w:trHeight w:val="600"/>
        </w:trPr>
        <w:tc>
          <w:tcPr>
            <w:tcW w:w="9470" w:type="dxa"/>
            <w:tcBorders>
              <w:top w:val="single" w:sz="4" w:space="0" w:color="auto"/>
              <w:left w:val="single" w:sz="4" w:space="0" w:color="auto"/>
              <w:bottom w:val="single" w:sz="4" w:space="0" w:color="auto"/>
              <w:right w:val="single" w:sz="4" w:space="0" w:color="auto"/>
            </w:tcBorders>
            <w:shd w:val="clear" w:color="auto" w:fill="auto"/>
            <w:vAlign w:val="bottom"/>
          </w:tcPr>
          <w:p w14:paraId="469AB45F" w14:textId="77777777" w:rsidR="004A78A9" w:rsidRPr="00151A3F" w:rsidRDefault="004A78A9" w:rsidP="004A78A9">
            <w:pPr>
              <w:spacing w:before="0" w:after="0"/>
              <w:rPr>
                <w:rFonts w:ascii="Calibri" w:hAnsi="Calibri"/>
                <w:color w:val="000000"/>
              </w:rPr>
            </w:pPr>
            <w:r w:rsidRPr="00151A3F">
              <w:rPr>
                <w:rFonts w:ascii="Calibri" w:hAnsi="Calibri"/>
                <w:color w:val="000000"/>
              </w:rPr>
              <w:t>Konfokālais lāzermikroskops Leica TCP SP2 SE</w:t>
            </w:r>
          </w:p>
        </w:tc>
      </w:tr>
      <w:tr w:rsidR="004A78A9" w:rsidRPr="00151A3F" w14:paraId="671A475B" w14:textId="77777777" w:rsidTr="004A78A9">
        <w:trPr>
          <w:trHeight w:val="600"/>
        </w:trPr>
        <w:tc>
          <w:tcPr>
            <w:tcW w:w="9470" w:type="dxa"/>
            <w:tcBorders>
              <w:top w:val="single" w:sz="4" w:space="0" w:color="auto"/>
              <w:left w:val="single" w:sz="4" w:space="0" w:color="auto"/>
              <w:bottom w:val="single" w:sz="4" w:space="0" w:color="auto"/>
              <w:right w:val="single" w:sz="4" w:space="0" w:color="auto"/>
            </w:tcBorders>
            <w:shd w:val="clear" w:color="auto" w:fill="auto"/>
            <w:vAlign w:val="bottom"/>
          </w:tcPr>
          <w:p w14:paraId="6D3A0D39" w14:textId="77777777" w:rsidR="004A78A9" w:rsidRPr="00151A3F" w:rsidRDefault="004A78A9" w:rsidP="004A78A9">
            <w:pPr>
              <w:spacing w:before="0" w:after="0"/>
              <w:rPr>
                <w:rFonts w:ascii="Calibri" w:hAnsi="Calibri"/>
                <w:color w:val="000000"/>
              </w:rPr>
            </w:pPr>
            <w:r w:rsidRPr="00151A3F">
              <w:rPr>
                <w:rFonts w:ascii="Calibri" w:hAnsi="Calibri"/>
                <w:color w:val="000000"/>
              </w:rPr>
              <w:t>Caurstarojošais elektronmikroskops JEM1230</w:t>
            </w:r>
          </w:p>
        </w:tc>
      </w:tr>
      <w:tr w:rsidR="004A78A9" w:rsidRPr="00151A3F" w14:paraId="3617CAA8" w14:textId="77777777" w:rsidTr="004A78A9">
        <w:trPr>
          <w:trHeight w:val="600"/>
        </w:trPr>
        <w:tc>
          <w:tcPr>
            <w:tcW w:w="9470" w:type="dxa"/>
            <w:tcBorders>
              <w:top w:val="single" w:sz="4" w:space="0" w:color="auto"/>
              <w:left w:val="single" w:sz="4" w:space="0" w:color="auto"/>
              <w:bottom w:val="single" w:sz="4" w:space="0" w:color="auto"/>
              <w:right w:val="single" w:sz="4" w:space="0" w:color="auto"/>
            </w:tcBorders>
            <w:shd w:val="clear" w:color="auto" w:fill="auto"/>
            <w:vAlign w:val="bottom"/>
          </w:tcPr>
          <w:p w14:paraId="76304D70" w14:textId="77777777" w:rsidR="004A78A9" w:rsidRPr="00151A3F" w:rsidRDefault="004A78A9" w:rsidP="004A78A9">
            <w:pPr>
              <w:spacing w:before="0" w:after="0"/>
              <w:rPr>
                <w:rFonts w:ascii="Calibri" w:hAnsi="Calibri"/>
                <w:color w:val="000000"/>
              </w:rPr>
            </w:pPr>
            <w:r w:rsidRPr="00151A3F">
              <w:rPr>
                <w:rFonts w:ascii="Calibri" w:hAnsi="Calibri"/>
                <w:color w:val="000000"/>
              </w:rPr>
              <w:t>Hromatogrāfijas iekārta</w:t>
            </w:r>
          </w:p>
        </w:tc>
      </w:tr>
      <w:tr w:rsidR="004A78A9" w:rsidRPr="00151A3F" w14:paraId="5BEB8218" w14:textId="77777777" w:rsidTr="004A78A9">
        <w:trPr>
          <w:trHeight w:val="600"/>
        </w:trPr>
        <w:tc>
          <w:tcPr>
            <w:tcW w:w="9470" w:type="dxa"/>
            <w:tcBorders>
              <w:top w:val="single" w:sz="4" w:space="0" w:color="auto"/>
              <w:left w:val="single" w:sz="4" w:space="0" w:color="auto"/>
              <w:bottom w:val="single" w:sz="4" w:space="0" w:color="auto"/>
              <w:right w:val="single" w:sz="4" w:space="0" w:color="auto"/>
            </w:tcBorders>
            <w:shd w:val="clear" w:color="auto" w:fill="auto"/>
            <w:vAlign w:val="bottom"/>
          </w:tcPr>
          <w:p w14:paraId="49C66A5E" w14:textId="77777777" w:rsidR="004A78A9" w:rsidRPr="00151A3F" w:rsidRDefault="004A78A9" w:rsidP="004A78A9">
            <w:pPr>
              <w:spacing w:before="0" w:after="0"/>
              <w:rPr>
                <w:rFonts w:ascii="Calibri" w:hAnsi="Calibri"/>
                <w:color w:val="000000"/>
              </w:rPr>
            </w:pPr>
            <w:r w:rsidRPr="00151A3F">
              <w:rPr>
                <w:rFonts w:ascii="Calibri" w:hAnsi="Calibri"/>
                <w:color w:val="000000"/>
              </w:rPr>
              <w:t>HPLC Shimadzu Prominence LC-20</w:t>
            </w:r>
          </w:p>
        </w:tc>
      </w:tr>
      <w:tr w:rsidR="004A78A9" w:rsidRPr="00151A3F" w14:paraId="6EBEC402" w14:textId="77777777" w:rsidTr="004A78A9">
        <w:trPr>
          <w:trHeight w:val="600"/>
        </w:trPr>
        <w:tc>
          <w:tcPr>
            <w:tcW w:w="9470" w:type="dxa"/>
            <w:tcBorders>
              <w:top w:val="single" w:sz="4" w:space="0" w:color="auto"/>
              <w:left w:val="single" w:sz="4" w:space="0" w:color="auto"/>
              <w:bottom w:val="single" w:sz="4" w:space="0" w:color="auto"/>
              <w:right w:val="single" w:sz="4" w:space="0" w:color="auto"/>
            </w:tcBorders>
            <w:shd w:val="clear" w:color="auto" w:fill="auto"/>
            <w:vAlign w:val="bottom"/>
          </w:tcPr>
          <w:p w14:paraId="74EACCC6" w14:textId="77777777" w:rsidR="004A78A9" w:rsidRPr="00151A3F" w:rsidRDefault="004A78A9" w:rsidP="004A78A9">
            <w:pPr>
              <w:spacing w:before="0" w:after="0"/>
              <w:rPr>
                <w:rFonts w:ascii="Calibri" w:hAnsi="Calibri"/>
                <w:color w:val="000000"/>
              </w:rPr>
            </w:pPr>
            <w:r w:rsidRPr="00151A3F">
              <w:rPr>
                <w:rFonts w:ascii="Calibri" w:hAnsi="Calibri"/>
                <w:color w:val="000000"/>
              </w:rPr>
              <w:t>Akta Pure</w:t>
            </w:r>
          </w:p>
        </w:tc>
      </w:tr>
      <w:tr w:rsidR="004A78A9" w:rsidRPr="00151A3F" w14:paraId="6D9E09A8" w14:textId="77777777" w:rsidTr="004A78A9">
        <w:trPr>
          <w:trHeight w:val="600"/>
        </w:trPr>
        <w:tc>
          <w:tcPr>
            <w:tcW w:w="9470" w:type="dxa"/>
            <w:tcBorders>
              <w:top w:val="single" w:sz="4" w:space="0" w:color="auto"/>
              <w:left w:val="single" w:sz="4" w:space="0" w:color="auto"/>
              <w:bottom w:val="single" w:sz="4" w:space="0" w:color="auto"/>
              <w:right w:val="single" w:sz="4" w:space="0" w:color="auto"/>
            </w:tcBorders>
            <w:shd w:val="clear" w:color="auto" w:fill="auto"/>
            <w:vAlign w:val="bottom"/>
          </w:tcPr>
          <w:p w14:paraId="27727923" w14:textId="77777777" w:rsidR="004A78A9" w:rsidRPr="00151A3F" w:rsidRDefault="004A78A9" w:rsidP="004A78A9">
            <w:pPr>
              <w:spacing w:before="0" w:after="0"/>
              <w:rPr>
                <w:rFonts w:ascii="Calibri" w:hAnsi="Calibri"/>
                <w:color w:val="000000"/>
              </w:rPr>
            </w:pPr>
            <w:r w:rsidRPr="00151A3F">
              <w:rPr>
                <w:rFonts w:ascii="Calibri" w:hAnsi="Calibri"/>
                <w:color w:val="000000"/>
              </w:rPr>
              <w:t>Akta Avant</w:t>
            </w:r>
          </w:p>
        </w:tc>
      </w:tr>
      <w:tr w:rsidR="004A78A9" w:rsidRPr="00151A3F" w14:paraId="13938534" w14:textId="77777777" w:rsidTr="004A78A9">
        <w:trPr>
          <w:trHeight w:val="600"/>
        </w:trPr>
        <w:tc>
          <w:tcPr>
            <w:tcW w:w="9470" w:type="dxa"/>
            <w:tcBorders>
              <w:top w:val="single" w:sz="4" w:space="0" w:color="auto"/>
              <w:left w:val="single" w:sz="4" w:space="0" w:color="auto"/>
              <w:bottom w:val="single" w:sz="4" w:space="0" w:color="auto"/>
              <w:right w:val="single" w:sz="4" w:space="0" w:color="auto"/>
            </w:tcBorders>
            <w:shd w:val="clear" w:color="auto" w:fill="auto"/>
            <w:vAlign w:val="bottom"/>
          </w:tcPr>
          <w:p w14:paraId="62E558FB" w14:textId="77777777" w:rsidR="004A78A9" w:rsidRPr="00151A3F" w:rsidRDefault="004A78A9" w:rsidP="004A78A9">
            <w:pPr>
              <w:spacing w:before="0" w:after="0"/>
              <w:rPr>
                <w:rFonts w:ascii="Calibri" w:hAnsi="Calibri"/>
                <w:color w:val="000000"/>
              </w:rPr>
            </w:pPr>
            <w:r w:rsidRPr="00151A3F">
              <w:rPr>
                <w:rFonts w:ascii="Calibri" w:hAnsi="Calibri"/>
                <w:color w:val="000000"/>
              </w:rPr>
              <w:t>Hromatogrāfijas aukstuma kamera termojutīgu objektu attīrīšanai UNICHROMAT 1500</w:t>
            </w:r>
          </w:p>
        </w:tc>
      </w:tr>
      <w:tr w:rsidR="004A78A9" w:rsidRPr="00151A3F" w14:paraId="0272963A" w14:textId="77777777" w:rsidTr="004A78A9">
        <w:trPr>
          <w:trHeight w:val="600"/>
        </w:trPr>
        <w:tc>
          <w:tcPr>
            <w:tcW w:w="9470" w:type="dxa"/>
            <w:tcBorders>
              <w:top w:val="single" w:sz="4" w:space="0" w:color="auto"/>
              <w:left w:val="single" w:sz="4" w:space="0" w:color="auto"/>
              <w:bottom w:val="single" w:sz="4" w:space="0" w:color="auto"/>
              <w:right w:val="single" w:sz="4" w:space="0" w:color="auto"/>
            </w:tcBorders>
            <w:shd w:val="clear" w:color="auto" w:fill="auto"/>
            <w:vAlign w:val="bottom"/>
          </w:tcPr>
          <w:p w14:paraId="1D69E493" w14:textId="77777777" w:rsidR="004A78A9" w:rsidRPr="00151A3F" w:rsidRDefault="004A78A9" w:rsidP="004A78A9">
            <w:pPr>
              <w:spacing w:before="0" w:after="0"/>
              <w:rPr>
                <w:rFonts w:ascii="Calibri" w:hAnsi="Calibri"/>
                <w:color w:val="000000"/>
              </w:rPr>
            </w:pPr>
            <w:r w:rsidRPr="00151A3F">
              <w:rPr>
                <w:rFonts w:ascii="Calibri" w:hAnsi="Calibri"/>
                <w:color w:val="000000"/>
              </w:rPr>
              <w:t>Akta FPLC sistēma ar Frac-950 Kolektoru</w:t>
            </w:r>
          </w:p>
        </w:tc>
      </w:tr>
      <w:tr w:rsidR="004A78A9" w:rsidRPr="00151A3F" w14:paraId="0B1661D3" w14:textId="77777777" w:rsidTr="004A78A9">
        <w:trPr>
          <w:trHeight w:val="600"/>
        </w:trPr>
        <w:tc>
          <w:tcPr>
            <w:tcW w:w="9470" w:type="dxa"/>
            <w:tcBorders>
              <w:top w:val="single" w:sz="4" w:space="0" w:color="auto"/>
              <w:left w:val="single" w:sz="4" w:space="0" w:color="auto"/>
              <w:bottom w:val="single" w:sz="4" w:space="0" w:color="auto"/>
              <w:right w:val="single" w:sz="4" w:space="0" w:color="auto"/>
            </w:tcBorders>
            <w:shd w:val="clear" w:color="auto" w:fill="auto"/>
            <w:vAlign w:val="bottom"/>
          </w:tcPr>
          <w:p w14:paraId="00F9D2BE" w14:textId="77777777" w:rsidR="004A78A9" w:rsidRPr="00151A3F" w:rsidRDefault="004A78A9" w:rsidP="004A78A9">
            <w:pPr>
              <w:spacing w:before="0" w:after="0"/>
              <w:rPr>
                <w:rFonts w:ascii="Calibri" w:hAnsi="Calibri"/>
                <w:color w:val="000000"/>
              </w:rPr>
            </w:pPr>
            <w:r w:rsidRPr="00151A3F">
              <w:rPr>
                <w:rFonts w:ascii="Calibri" w:hAnsi="Calibri"/>
                <w:color w:val="000000"/>
              </w:rPr>
              <w:t>Hromatogrāfijas iekārta AKTA plus</w:t>
            </w:r>
          </w:p>
        </w:tc>
      </w:tr>
      <w:tr w:rsidR="004A78A9" w:rsidRPr="00151A3F" w14:paraId="28FC2C5C" w14:textId="77777777" w:rsidTr="004A78A9">
        <w:trPr>
          <w:trHeight w:val="600"/>
        </w:trPr>
        <w:tc>
          <w:tcPr>
            <w:tcW w:w="9470" w:type="dxa"/>
            <w:tcBorders>
              <w:top w:val="single" w:sz="4" w:space="0" w:color="auto"/>
              <w:left w:val="single" w:sz="4" w:space="0" w:color="auto"/>
              <w:bottom w:val="single" w:sz="4" w:space="0" w:color="auto"/>
              <w:right w:val="single" w:sz="4" w:space="0" w:color="auto"/>
            </w:tcBorders>
            <w:shd w:val="clear" w:color="auto" w:fill="auto"/>
            <w:vAlign w:val="bottom"/>
          </w:tcPr>
          <w:p w14:paraId="74B398DC" w14:textId="77777777" w:rsidR="004A78A9" w:rsidRPr="00151A3F" w:rsidRDefault="004A78A9" w:rsidP="004A78A9">
            <w:pPr>
              <w:spacing w:before="0" w:after="0"/>
              <w:rPr>
                <w:rFonts w:ascii="Calibri" w:hAnsi="Calibri"/>
                <w:color w:val="000000"/>
              </w:rPr>
            </w:pPr>
            <w:r w:rsidRPr="00151A3F">
              <w:rPr>
                <w:rFonts w:ascii="Calibri" w:hAnsi="Calibri"/>
                <w:color w:val="000000"/>
              </w:rPr>
              <w:t>UltraCenrifūgēšanas iekārta Optima L-100XP</w:t>
            </w:r>
          </w:p>
        </w:tc>
      </w:tr>
      <w:tr w:rsidR="004A78A9" w:rsidRPr="00151A3F" w14:paraId="15EC64F7" w14:textId="77777777" w:rsidTr="004A78A9">
        <w:trPr>
          <w:trHeight w:val="600"/>
        </w:trPr>
        <w:tc>
          <w:tcPr>
            <w:tcW w:w="9470" w:type="dxa"/>
            <w:tcBorders>
              <w:top w:val="single" w:sz="4" w:space="0" w:color="auto"/>
              <w:left w:val="single" w:sz="4" w:space="0" w:color="auto"/>
              <w:bottom w:val="single" w:sz="4" w:space="0" w:color="auto"/>
              <w:right w:val="single" w:sz="4" w:space="0" w:color="auto"/>
            </w:tcBorders>
            <w:shd w:val="clear" w:color="auto" w:fill="auto"/>
            <w:vAlign w:val="bottom"/>
          </w:tcPr>
          <w:p w14:paraId="6D3E9BD0" w14:textId="77777777" w:rsidR="004A78A9" w:rsidRPr="00151A3F" w:rsidRDefault="004A78A9" w:rsidP="004A78A9">
            <w:pPr>
              <w:spacing w:before="0" w:after="0"/>
              <w:rPr>
                <w:rFonts w:ascii="Calibri" w:hAnsi="Calibri"/>
                <w:color w:val="000000"/>
              </w:rPr>
            </w:pPr>
            <w:r w:rsidRPr="00151A3F">
              <w:rPr>
                <w:rFonts w:ascii="Calibri" w:hAnsi="Calibri"/>
                <w:color w:val="000000"/>
              </w:rPr>
              <w:t>Bioreaktors, BIOFLO 410, New Brunswick Scientific</w:t>
            </w:r>
          </w:p>
        </w:tc>
      </w:tr>
      <w:tr w:rsidR="004A78A9" w:rsidRPr="00151A3F" w14:paraId="35554695" w14:textId="77777777" w:rsidTr="004A78A9">
        <w:trPr>
          <w:trHeight w:val="600"/>
        </w:trPr>
        <w:tc>
          <w:tcPr>
            <w:tcW w:w="9470" w:type="dxa"/>
            <w:tcBorders>
              <w:top w:val="single" w:sz="4" w:space="0" w:color="auto"/>
              <w:left w:val="single" w:sz="4" w:space="0" w:color="auto"/>
              <w:bottom w:val="single" w:sz="4" w:space="0" w:color="auto"/>
              <w:right w:val="single" w:sz="4" w:space="0" w:color="auto"/>
            </w:tcBorders>
            <w:shd w:val="clear" w:color="auto" w:fill="auto"/>
            <w:vAlign w:val="bottom"/>
          </w:tcPr>
          <w:p w14:paraId="28EA0883" w14:textId="77777777" w:rsidR="004A78A9" w:rsidRPr="00151A3F" w:rsidRDefault="004A78A9" w:rsidP="004A78A9">
            <w:pPr>
              <w:spacing w:before="0" w:after="0"/>
              <w:rPr>
                <w:rFonts w:ascii="Calibri" w:hAnsi="Calibri"/>
                <w:color w:val="000000"/>
              </w:rPr>
            </w:pPr>
            <w:r w:rsidRPr="00151A3F">
              <w:rPr>
                <w:rFonts w:ascii="Calibri" w:hAnsi="Calibri"/>
                <w:color w:val="000000"/>
              </w:rPr>
              <w:t>Proteīnu kristalogrāfijas rentgenstaru ģenerators X8 Proteum Single Crystal System for In-House Protein Data Collectio, Pt 135</w:t>
            </w:r>
          </w:p>
        </w:tc>
      </w:tr>
      <w:tr w:rsidR="004A78A9" w:rsidRPr="00151A3F" w14:paraId="3D749456" w14:textId="77777777" w:rsidTr="004A78A9">
        <w:trPr>
          <w:trHeight w:val="600"/>
        </w:trPr>
        <w:tc>
          <w:tcPr>
            <w:tcW w:w="9470" w:type="dxa"/>
            <w:tcBorders>
              <w:top w:val="single" w:sz="4" w:space="0" w:color="auto"/>
              <w:left w:val="single" w:sz="4" w:space="0" w:color="auto"/>
              <w:bottom w:val="single" w:sz="4" w:space="0" w:color="auto"/>
              <w:right w:val="single" w:sz="4" w:space="0" w:color="auto"/>
            </w:tcBorders>
            <w:shd w:val="clear" w:color="auto" w:fill="auto"/>
            <w:vAlign w:val="bottom"/>
          </w:tcPr>
          <w:p w14:paraId="2381966D" w14:textId="77777777" w:rsidR="004A78A9" w:rsidRPr="00151A3F" w:rsidRDefault="004A78A9" w:rsidP="004A78A9">
            <w:pPr>
              <w:spacing w:before="0" w:after="0"/>
              <w:rPr>
                <w:rFonts w:ascii="Calibri" w:hAnsi="Calibri"/>
                <w:color w:val="000000"/>
              </w:rPr>
            </w:pPr>
            <w:r w:rsidRPr="00151A3F">
              <w:rPr>
                <w:rFonts w:ascii="Calibri" w:hAnsi="Calibri"/>
                <w:color w:val="000000"/>
              </w:rPr>
              <w:t>Proteīnu kristalizācijas skrīnēšanas plašu sagataves robots Tecan Evo100</w:t>
            </w:r>
          </w:p>
        </w:tc>
      </w:tr>
      <w:tr w:rsidR="004A78A9" w:rsidRPr="00151A3F" w14:paraId="02E7D871" w14:textId="77777777" w:rsidTr="004A78A9">
        <w:trPr>
          <w:trHeight w:val="600"/>
        </w:trPr>
        <w:tc>
          <w:tcPr>
            <w:tcW w:w="9470" w:type="dxa"/>
            <w:tcBorders>
              <w:top w:val="single" w:sz="4" w:space="0" w:color="auto"/>
              <w:left w:val="single" w:sz="4" w:space="0" w:color="auto"/>
              <w:bottom w:val="single" w:sz="4" w:space="0" w:color="auto"/>
              <w:right w:val="single" w:sz="4" w:space="0" w:color="auto"/>
            </w:tcBorders>
            <w:shd w:val="clear" w:color="auto" w:fill="auto"/>
            <w:vAlign w:val="bottom"/>
          </w:tcPr>
          <w:p w14:paraId="3C6B7EAF" w14:textId="77777777" w:rsidR="004A78A9" w:rsidRPr="00151A3F" w:rsidRDefault="004A78A9" w:rsidP="004A78A9">
            <w:pPr>
              <w:spacing w:before="0" w:after="0"/>
              <w:rPr>
                <w:rFonts w:ascii="Calibri" w:hAnsi="Calibri"/>
                <w:color w:val="000000"/>
              </w:rPr>
            </w:pPr>
            <w:r w:rsidRPr="00151A3F">
              <w:rPr>
                <w:rFonts w:ascii="Calibri" w:hAnsi="Calibri"/>
                <w:color w:val="000000"/>
              </w:rPr>
              <w:t>Dinamiskās gaismas izkliedes spektrometrs Zetasizer Nano ZS (Malvern)</w:t>
            </w:r>
          </w:p>
        </w:tc>
      </w:tr>
      <w:tr w:rsidR="004A78A9" w:rsidRPr="00151A3F" w14:paraId="77E42285" w14:textId="77777777" w:rsidTr="004A78A9">
        <w:trPr>
          <w:trHeight w:val="600"/>
        </w:trPr>
        <w:tc>
          <w:tcPr>
            <w:tcW w:w="9470" w:type="dxa"/>
            <w:tcBorders>
              <w:top w:val="single" w:sz="4" w:space="0" w:color="auto"/>
              <w:left w:val="single" w:sz="4" w:space="0" w:color="auto"/>
              <w:bottom w:val="single" w:sz="4" w:space="0" w:color="auto"/>
              <w:right w:val="single" w:sz="4" w:space="0" w:color="auto"/>
            </w:tcBorders>
            <w:shd w:val="clear" w:color="auto" w:fill="auto"/>
            <w:vAlign w:val="bottom"/>
          </w:tcPr>
          <w:p w14:paraId="13672ADD" w14:textId="77777777" w:rsidR="004A78A9" w:rsidRPr="00151A3F" w:rsidRDefault="004A78A9" w:rsidP="004A78A9">
            <w:pPr>
              <w:spacing w:before="0" w:after="0"/>
              <w:rPr>
                <w:rFonts w:ascii="Calibri" w:hAnsi="Calibri"/>
                <w:color w:val="000000"/>
              </w:rPr>
            </w:pPr>
            <w:r w:rsidRPr="00151A3F">
              <w:rPr>
                <w:rFonts w:ascii="Calibri" w:hAnsi="Calibri"/>
                <w:color w:val="000000"/>
              </w:rPr>
              <w:t>Kristālu audzēšanas inkubatori ECHOterm</w:t>
            </w:r>
          </w:p>
        </w:tc>
      </w:tr>
      <w:tr w:rsidR="004A78A9" w:rsidRPr="00151A3F" w14:paraId="479DFCE3" w14:textId="77777777" w:rsidTr="004A78A9">
        <w:trPr>
          <w:trHeight w:val="600"/>
        </w:trPr>
        <w:tc>
          <w:tcPr>
            <w:tcW w:w="9470" w:type="dxa"/>
            <w:tcBorders>
              <w:top w:val="single" w:sz="4" w:space="0" w:color="auto"/>
              <w:left w:val="single" w:sz="4" w:space="0" w:color="auto"/>
              <w:bottom w:val="single" w:sz="4" w:space="0" w:color="auto"/>
              <w:right w:val="single" w:sz="4" w:space="0" w:color="auto"/>
            </w:tcBorders>
            <w:shd w:val="clear" w:color="auto" w:fill="auto"/>
            <w:vAlign w:val="bottom"/>
          </w:tcPr>
          <w:p w14:paraId="060D4F0B" w14:textId="77777777" w:rsidR="004A78A9" w:rsidRPr="00151A3F" w:rsidRDefault="004A78A9" w:rsidP="004A78A9">
            <w:pPr>
              <w:spacing w:before="0" w:after="0"/>
              <w:rPr>
                <w:rFonts w:ascii="Calibri" w:hAnsi="Calibri"/>
                <w:color w:val="000000"/>
              </w:rPr>
            </w:pPr>
            <w:r w:rsidRPr="00151A3F">
              <w:rPr>
                <w:rFonts w:ascii="Calibri" w:hAnsi="Calibri"/>
                <w:color w:val="000000"/>
              </w:rPr>
              <w:lastRenderedPageBreak/>
              <w:t>Gaismas un fluorescento punktu lasītājs ImmunoSpot® S5 UV Image Analyzer, Edition 2012, CTL</w:t>
            </w:r>
          </w:p>
        </w:tc>
      </w:tr>
      <w:tr w:rsidR="004A78A9" w:rsidRPr="00151A3F" w14:paraId="5232A39E" w14:textId="77777777" w:rsidTr="004A78A9">
        <w:trPr>
          <w:trHeight w:val="600"/>
        </w:trPr>
        <w:tc>
          <w:tcPr>
            <w:tcW w:w="9470" w:type="dxa"/>
            <w:tcBorders>
              <w:top w:val="single" w:sz="4" w:space="0" w:color="auto"/>
              <w:left w:val="single" w:sz="4" w:space="0" w:color="auto"/>
              <w:bottom w:val="single" w:sz="4" w:space="0" w:color="auto"/>
              <w:right w:val="single" w:sz="4" w:space="0" w:color="auto"/>
            </w:tcBorders>
            <w:shd w:val="clear" w:color="auto" w:fill="auto"/>
            <w:vAlign w:val="bottom"/>
          </w:tcPr>
          <w:p w14:paraId="12FB6A88" w14:textId="77777777" w:rsidR="004A78A9" w:rsidRPr="00151A3F" w:rsidRDefault="004A78A9" w:rsidP="004A78A9">
            <w:pPr>
              <w:spacing w:before="0" w:after="0"/>
              <w:rPr>
                <w:rFonts w:ascii="Calibri" w:hAnsi="Calibri"/>
                <w:color w:val="000000"/>
              </w:rPr>
            </w:pPr>
            <w:r w:rsidRPr="00151A3F">
              <w:rPr>
                <w:rFonts w:ascii="Calibri" w:hAnsi="Calibri"/>
                <w:color w:val="000000"/>
              </w:rPr>
              <w:t>Gaismas un fluorescences absorbcijas mērītājs Victor3V, Perkin Elmer</w:t>
            </w:r>
          </w:p>
        </w:tc>
      </w:tr>
      <w:tr w:rsidR="004A78A9" w:rsidRPr="00151A3F" w14:paraId="70522FBB" w14:textId="77777777" w:rsidTr="004A78A9">
        <w:trPr>
          <w:trHeight w:val="600"/>
        </w:trPr>
        <w:tc>
          <w:tcPr>
            <w:tcW w:w="9470" w:type="dxa"/>
            <w:tcBorders>
              <w:top w:val="single" w:sz="4" w:space="0" w:color="auto"/>
              <w:left w:val="single" w:sz="4" w:space="0" w:color="auto"/>
              <w:bottom w:val="single" w:sz="4" w:space="0" w:color="auto"/>
              <w:right w:val="single" w:sz="4" w:space="0" w:color="auto"/>
            </w:tcBorders>
            <w:shd w:val="clear" w:color="auto" w:fill="auto"/>
            <w:vAlign w:val="bottom"/>
          </w:tcPr>
          <w:p w14:paraId="7BBBD7C9" w14:textId="77777777" w:rsidR="004A78A9" w:rsidRPr="00151A3F" w:rsidRDefault="004A78A9" w:rsidP="004A78A9">
            <w:pPr>
              <w:spacing w:before="0" w:after="0"/>
              <w:rPr>
                <w:rFonts w:ascii="Calibri" w:hAnsi="Calibri"/>
                <w:color w:val="000000"/>
              </w:rPr>
            </w:pPr>
            <w:r w:rsidRPr="00151A3F">
              <w:rPr>
                <w:rFonts w:ascii="Calibri" w:hAnsi="Calibri"/>
                <w:color w:val="000000"/>
              </w:rPr>
              <w:t>Universāls mikroplašu spektrofotometrs ar aksesuāriem</w:t>
            </w:r>
          </w:p>
        </w:tc>
      </w:tr>
      <w:tr w:rsidR="004A78A9" w:rsidRPr="00151A3F" w14:paraId="7A684FE1" w14:textId="77777777" w:rsidTr="004A78A9">
        <w:trPr>
          <w:trHeight w:val="600"/>
        </w:trPr>
        <w:tc>
          <w:tcPr>
            <w:tcW w:w="9470" w:type="dxa"/>
            <w:tcBorders>
              <w:top w:val="single" w:sz="4" w:space="0" w:color="auto"/>
              <w:left w:val="single" w:sz="4" w:space="0" w:color="auto"/>
              <w:bottom w:val="single" w:sz="4" w:space="0" w:color="auto"/>
              <w:right w:val="single" w:sz="4" w:space="0" w:color="auto"/>
            </w:tcBorders>
            <w:shd w:val="clear" w:color="auto" w:fill="auto"/>
            <w:vAlign w:val="bottom"/>
          </w:tcPr>
          <w:p w14:paraId="1BFE0090" w14:textId="77777777" w:rsidR="004A78A9" w:rsidRPr="00151A3F" w:rsidRDefault="004A78A9" w:rsidP="004A78A9">
            <w:pPr>
              <w:spacing w:before="0" w:after="0"/>
              <w:rPr>
                <w:rFonts w:ascii="Calibri" w:hAnsi="Calibri"/>
                <w:color w:val="000000"/>
              </w:rPr>
            </w:pPr>
            <w:r w:rsidRPr="00151A3F">
              <w:rPr>
                <w:rFonts w:ascii="Calibri" w:hAnsi="Calibri"/>
                <w:color w:val="000000"/>
              </w:rPr>
              <w:t>Plūsmas citometrs un šūnu šķirotājs BD FACSAria II, BD Biosciences</w:t>
            </w:r>
          </w:p>
        </w:tc>
      </w:tr>
      <w:tr w:rsidR="004A78A9" w:rsidRPr="00CD6357" w14:paraId="761FB8D0" w14:textId="77777777" w:rsidTr="004A78A9">
        <w:trPr>
          <w:trHeight w:val="217"/>
        </w:trPr>
        <w:tc>
          <w:tcPr>
            <w:tcW w:w="9470" w:type="dxa"/>
            <w:tcBorders>
              <w:top w:val="single" w:sz="4" w:space="0" w:color="auto"/>
              <w:left w:val="single" w:sz="4" w:space="0" w:color="auto"/>
              <w:bottom w:val="single" w:sz="4" w:space="0" w:color="auto"/>
              <w:right w:val="single" w:sz="4" w:space="0" w:color="auto"/>
            </w:tcBorders>
            <w:shd w:val="clear" w:color="auto" w:fill="222A35" w:themeFill="text2" w:themeFillShade="80"/>
            <w:vAlign w:val="bottom"/>
          </w:tcPr>
          <w:p w14:paraId="0ECD5417" w14:textId="77777777" w:rsidR="004A78A9" w:rsidRPr="00CD6357" w:rsidRDefault="004A78A9" w:rsidP="004A78A9">
            <w:pPr>
              <w:spacing w:before="0" w:after="0"/>
              <w:jc w:val="center"/>
              <w:rPr>
                <w:rFonts w:ascii="Calibri" w:hAnsi="Calibri"/>
                <w:b/>
                <w:color w:val="FFFFFF" w:themeColor="background1"/>
                <w:sz w:val="24"/>
              </w:rPr>
            </w:pPr>
            <w:r w:rsidRPr="00CD6357">
              <w:rPr>
                <w:rFonts w:ascii="Calibri" w:hAnsi="Calibri"/>
                <w:b/>
                <w:color w:val="FFFFFF" w:themeColor="background1"/>
                <w:sz w:val="24"/>
              </w:rPr>
              <w:t>LU Mikrobioloģijas un biotehnoloģijas institūts</w:t>
            </w:r>
          </w:p>
        </w:tc>
      </w:tr>
      <w:tr w:rsidR="004A78A9" w:rsidRPr="004E2091" w14:paraId="7B00E064" w14:textId="77777777" w:rsidTr="004A78A9">
        <w:trPr>
          <w:trHeight w:val="600"/>
        </w:trPr>
        <w:tc>
          <w:tcPr>
            <w:tcW w:w="9470" w:type="dxa"/>
            <w:tcBorders>
              <w:top w:val="single" w:sz="4" w:space="0" w:color="auto"/>
              <w:left w:val="single" w:sz="4" w:space="0" w:color="auto"/>
              <w:bottom w:val="single" w:sz="4" w:space="0" w:color="auto"/>
              <w:right w:val="single" w:sz="4" w:space="0" w:color="auto"/>
            </w:tcBorders>
            <w:shd w:val="clear" w:color="auto" w:fill="auto"/>
            <w:vAlign w:val="bottom"/>
          </w:tcPr>
          <w:p w14:paraId="3A020830" w14:textId="77777777" w:rsidR="004A78A9" w:rsidRDefault="004A78A9" w:rsidP="004A78A9">
            <w:pPr>
              <w:spacing w:before="0" w:after="0"/>
              <w:rPr>
                <w:rFonts w:ascii="Calibri" w:hAnsi="Calibri"/>
                <w:color w:val="000000"/>
              </w:rPr>
            </w:pPr>
            <w:r>
              <w:rPr>
                <w:rFonts w:ascii="Calibri" w:hAnsi="Calibri"/>
                <w:color w:val="000000"/>
              </w:rPr>
              <w:t>Furjē transformācijas infrasarkanais spektrometrs</w:t>
            </w:r>
          </w:p>
        </w:tc>
      </w:tr>
      <w:tr w:rsidR="004A78A9" w:rsidRPr="004E2091" w14:paraId="74D7BE52" w14:textId="77777777" w:rsidTr="004A78A9">
        <w:trPr>
          <w:trHeight w:val="600"/>
        </w:trPr>
        <w:tc>
          <w:tcPr>
            <w:tcW w:w="9470" w:type="dxa"/>
            <w:tcBorders>
              <w:top w:val="single" w:sz="4" w:space="0" w:color="auto"/>
              <w:left w:val="single" w:sz="4" w:space="0" w:color="auto"/>
              <w:bottom w:val="single" w:sz="4" w:space="0" w:color="auto"/>
              <w:right w:val="single" w:sz="4" w:space="0" w:color="auto"/>
            </w:tcBorders>
            <w:shd w:val="clear" w:color="auto" w:fill="auto"/>
            <w:vAlign w:val="bottom"/>
          </w:tcPr>
          <w:p w14:paraId="6BAD5D0D" w14:textId="77777777" w:rsidR="004A78A9" w:rsidRDefault="004A78A9" w:rsidP="004A78A9">
            <w:pPr>
              <w:spacing w:before="0" w:after="0"/>
              <w:rPr>
                <w:rFonts w:ascii="Calibri" w:hAnsi="Calibri"/>
                <w:color w:val="000000"/>
              </w:rPr>
            </w:pPr>
            <w:r>
              <w:rPr>
                <w:rFonts w:ascii="Calibri" w:hAnsi="Calibri"/>
                <w:color w:val="000000"/>
              </w:rPr>
              <w:t>Preparatīvais hromatogrāfs Agilent 1100</w:t>
            </w:r>
          </w:p>
        </w:tc>
      </w:tr>
      <w:tr w:rsidR="004A78A9" w:rsidRPr="004E2091" w14:paraId="78982F66" w14:textId="77777777" w:rsidTr="004A78A9">
        <w:trPr>
          <w:trHeight w:val="600"/>
        </w:trPr>
        <w:tc>
          <w:tcPr>
            <w:tcW w:w="9470" w:type="dxa"/>
            <w:tcBorders>
              <w:top w:val="single" w:sz="4" w:space="0" w:color="auto"/>
              <w:left w:val="single" w:sz="4" w:space="0" w:color="auto"/>
              <w:bottom w:val="single" w:sz="4" w:space="0" w:color="auto"/>
              <w:right w:val="single" w:sz="4" w:space="0" w:color="auto"/>
            </w:tcBorders>
            <w:shd w:val="clear" w:color="auto" w:fill="auto"/>
            <w:vAlign w:val="bottom"/>
          </w:tcPr>
          <w:p w14:paraId="13AD40B6" w14:textId="77777777" w:rsidR="004A78A9" w:rsidRDefault="004A78A9" w:rsidP="004A78A9">
            <w:pPr>
              <w:spacing w:before="0" w:after="0"/>
              <w:rPr>
                <w:rFonts w:ascii="Calibri" w:hAnsi="Calibri"/>
                <w:color w:val="000000"/>
              </w:rPr>
            </w:pPr>
            <w:r>
              <w:rPr>
                <w:rFonts w:ascii="Calibri" w:hAnsi="Calibri"/>
                <w:color w:val="000000"/>
              </w:rPr>
              <w:t>Hromatogrāfs fermentācijas metabolītu kvantitatīvai analīzei Agilent 1100</w:t>
            </w:r>
          </w:p>
        </w:tc>
      </w:tr>
      <w:tr w:rsidR="004A78A9" w:rsidRPr="004E2091" w14:paraId="42DEBC3D" w14:textId="77777777" w:rsidTr="004A78A9">
        <w:trPr>
          <w:trHeight w:val="600"/>
        </w:trPr>
        <w:tc>
          <w:tcPr>
            <w:tcW w:w="9470" w:type="dxa"/>
            <w:tcBorders>
              <w:top w:val="single" w:sz="4" w:space="0" w:color="auto"/>
              <w:left w:val="single" w:sz="4" w:space="0" w:color="auto"/>
              <w:bottom w:val="single" w:sz="4" w:space="0" w:color="auto"/>
              <w:right w:val="single" w:sz="4" w:space="0" w:color="auto"/>
            </w:tcBorders>
            <w:shd w:val="clear" w:color="auto" w:fill="auto"/>
            <w:vAlign w:val="bottom"/>
          </w:tcPr>
          <w:p w14:paraId="015F5F7C" w14:textId="77777777" w:rsidR="004A78A9" w:rsidRDefault="004A78A9" w:rsidP="004A78A9">
            <w:pPr>
              <w:spacing w:before="0" w:after="0"/>
              <w:rPr>
                <w:rFonts w:ascii="Calibri" w:hAnsi="Calibri"/>
                <w:color w:val="000000"/>
              </w:rPr>
            </w:pPr>
            <w:r>
              <w:rPr>
                <w:rFonts w:ascii="Calibri" w:hAnsi="Calibri"/>
                <w:color w:val="000000"/>
              </w:rPr>
              <w:t>Stacionārais laminārais bokss BIO II A/M</w:t>
            </w:r>
          </w:p>
        </w:tc>
      </w:tr>
      <w:tr w:rsidR="004A78A9" w:rsidRPr="004E2091" w14:paraId="69E1F0DA" w14:textId="77777777" w:rsidTr="004A78A9">
        <w:trPr>
          <w:trHeight w:val="600"/>
        </w:trPr>
        <w:tc>
          <w:tcPr>
            <w:tcW w:w="9470" w:type="dxa"/>
            <w:tcBorders>
              <w:top w:val="single" w:sz="4" w:space="0" w:color="auto"/>
              <w:left w:val="single" w:sz="4" w:space="0" w:color="auto"/>
              <w:bottom w:val="single" w:sz="4" w:space="0" w:color="auto"/>
              <w:right w:val="single" w:sz="4" w:space="0" w:color="auto"/>
            </w:tcBorders>
            <w:shd w:val="clear" w:color="auto" w:fill="auto"/>
            <w:vAlign w:val="bottom"/>
          </w:tcPr>
          <w:p w14:paraId="75E83FBB" w14:textId="77777777" w:rsidR="004A78A9" w:rsidRDefault="004A78A9" w:rsidP="004A78A9">
            <w:pPr>
              <w:spacing w:before="0" w:after="0"/>
              <w:rPr>
                <w:rFonts w:ascii="Calibri" w:hAnsi="Calibri"/>
                <w:color w:val="000000"/>
              </w:rPr>
            </w:pPr>
            <w:r>
              <w:rPr>
                <w:rFonts w:ascii="Calibri" w:hAnsi="Calibri"/>
                <w:color w:val="000000"/>
              </w:rPr>
              <w:t>Centrifūga HERMLE Z38K</w:t>
            </w:r>
          </w:p>
        </w:tc>
      </w:tr>
      <w:tr w:rsidR="004A78A9" w:rsidRPr="00EE1C5B" w14:paraId="3FCACAD6" w14:textId="77777777" w:rsidTr="004A78A9">
        <w:trPr>
          <w:trHeight w:val="264"/>
        </w:trPr>
        <w:tc>
          <w:tcPr>
            <w:tcW w:w="9470" w:type="dxa"/>
            <w:tcBorders>
              <w:top w:val="single" w:sz="4" w:space="0" w:color="auto"/>
              <w:left w:val="single" w:sz="4" w:space="0" w:color="auto"/>
              <w:bottom w:val="single" w:sz="4" w:space="0" w:color="auto"/>
              <w:right w:val="single" w:sz="4" w:space="0" w:color="auto"/>
            </w:tcBorders>
            <w:shd w:val="clear" w:color="auto" w:fill="222A35" w:themeFill="text2" w:themeFillShade="80"/>
          </w:tcPr>
          <w:p w14:paraId="1BE1C838" w14:textId="77777777" w:rsidR="004A78A9" w:rsidRPr="00EE1C5B" w:rsidRDefault="004A78A9" w:rsidP="004A78A9">
            <w:pPr>
              <w:spacing w:before="0" w:after="0"/>
              <w:jc w:val="center"/>
              <w:rPr>
                <w:rFonts w:ascii="Calibri" w:eastAsia="Times New Roman" w:hAnsi="Calibri" w:cs="Times New Roman"/>
                <w:b/>
                <w:bCs/>
                <w:color w:val="FFFFFF" w:themeColor="background1"/>
                <w:sz w:val="24"/>
                <w:lang w:eastAsia="lv-LV"/>
              </w:rPr>
            </w:pPr>
            <w:r>
              <w:rPr>
                <w:b/>
              </w:rPr>
              <w:t>LU Bioloģijas</w:t>
            </w:r>
            <w:r w:rsidRPr="00EE1C5B">
              <w:rPr>
                <w:b/>
              </w:rPr>
              <w:t xml:space="preserve"> institūts</w:t>
            </w:r>
          </w:p>
        </w:tc>
      </w:tr>
      <w:tr w:rsidR="004A78A9" w:rsidRPr="004E2091" w14:paraId="25C000B0" w14:textId="77777777" w:rsidTr="004A78A9">
        <w:trPr>
          <w:trHeight w:val="600"/>
        </w:trPr>
        <w:tc>
          <w:tcPr>
            <w:tcW w:w="9470" w:type="dxa"/>
            <w:tcBorders>
              <w:top w:val="single" w:sz="4" w:space="0" w:color="auto"/>
              <w:left w:val="single" w:sz="4" w:space="0" w:color="auto"/>
              <w:bottom w:val="single" w:sz="4" w:space="0" w:color="auto"/>
              <w:right w:val="single" w:sz="4" w:space="0" w:color="auto"/>
            </w:tcBorders>
            <w:shd w:val="clear" w:color="auto" w:fill="auto"/>
            <w:vAlign w:val="bottom"/>
          </w:tcPr>
          <w:p w14:paraId="61D439F3" w14:textId="77777777" w:rsidR="004A78A9" w:rsidRDefault="004A78A9" w:rsidP="004A78A9">
            <w:pPr>
              <w:spacing w:before="0" w:after="0"/>
              <w:rPr>
                <w:rFonts w:ascii="Calibri" w:hAnsi="Calibri"/>
                <w:color w:val="000000"/>
              </w:rPr>
            </w:pPr>
            <w:r>
              <w:rPr>
                <w:rFonts w:ascii="Calibri" w:hAnsi="Calibri"/>
                <w:color w:val="000000"/>
              </w:rPr>
              <w:t xml:space="preserve"> Bioloģiskā augsti efektīvā šķidruma hromatogrāfijas sistēma;</w:t>
            </w:r>
          </w:p>
        </w:tc>
      </w:tr>
      <w:tr w:rsidR="004A78A9" w:rsidRPr="004E2091" w14:paraId="29A41263" w14:textId="77777777" w:rsidTr="004A78A9">
        <w:trPr>
          <w:trHeight w:val="600"/>
        </w:trPr>
        <w:tc>
          <w:tcPr>
            <w:tcW w:w="9470" w:type="dxa"/>
            <w:tcBorders>
              <w:top w:val="single" w:sz="4" w:space="0" w:color="auto"/>
              <w:left w:val="single" w:sz="4" w:space="0" w:color="auto"/>
              <w:bottom w:val="single" w:sz="4" w:space="0" w:color="auto"/>
              <w:right w:val="single" w:sz="4" w:space="0" w:color="auto"/>
            </w:tcBorders>
            <w:shd w:val="clear" w:color="auto" w:fill="auto"/>
            <w:vAlign w:val="bottom"/>
          </w:tcPr>
          <w:p w14:paraId="51E71882" w14:textId="77777777" w:rsidR="004A78A9" w:rsidRDefault="004A78A9" w:rsidP="004A78A9">
            <w:pPr>
              <w:spacing w:before="0" w:after="0"/>
              <w:rPr>
                <w:rFonts w:ascii="Calibri" w:hAnsi="Calibri"/>
                <w:color w:val="000000"/>
              </w:rPr>
            </w:pPr>
            <w:r>
              <w:rPr>
                <w:rFonts w:ascii="Calibri" w:hAnsi="Calibri"/>
                <w:color w:val="000000"/>
              </w:rPr>
              <w:t>  Atomu absorbcijas spektrometrs;</w:t>
            </w:r>
          </w:p>
        </w:tc>
      </w:tr>
      <w:tr w:rsidR="004A78A9" w:rsidRPr="004E2091" w14:paraId="4F7EBA75" w14:textId="77777777" w:rsidTr="004A78A9">
        <w:trPr>
          <w:trHeight w:val="600"/>
        </w:trPr>
        <w:tc>
          <w:tcPr>
            <w:tcW w:w="9470" w:type="dxa"/>
            <w:tcBorders>
              <w:top w:val="single" w:sz="4" w:space="0" w:color="auto"/>
              <w:left w:val="single" w:sz="4" w:space="0" w:color="auto"/>
              <w:bottom w:val="single" w:sz="4" w:space="0" w:color="auto"/>
              <w:right w:val="single" w:sz="4" w:space="0" w:color="auto"/>
            </w:tcBorders>
            <w:shd w:val="clear" w:color="auto" w:fill="auto"/>
            <w:vAlign w:val="bottom"/>
          </w:tcPr>
          <w:p w14:paraId="16622DAB" w14:textId="77777777" w:rsidR="004A78A9" w:rsidRDefault="004A78A9" w:rsidP="004A78A9">
            <w:pPr>
              <w:spacing w:before="0" w:after="0"/>
              <w:rPr>
                <w:rFonts w:ascii="Calibri" w:hAnsi="Calibri"/>
                <w:color w:val="000000"/>
              </w:rPr>
            </w:pPr>
            <w:r>
              <w:rPr>
                <w:rFonts w:ascii="Calibri" w:hAnsi="Calibri"/>
                <w:color w:val="000000"/>
              </w:rPr>
              <w:t>Gaismas mikroskops OLYMPUS BX41 ar digitālo fotografēšanas sistēmu;</w:t>
            </w:r>
          </w:p>
        </w:tc>
      </w:tr>
      <w:tr w:rsidR="004A78A9" w:rsidRPr="004E2091" w14:paraId="39C08BC7" w14:textId="77777777" w:rsidTr="004A78A9">
        <w:trPr>
          <w:trHeight w:val="600"/>
        </w:trPr>
        <w:tc>
          <w:tcPr>
            <w:tcW w:w="9470" w:type="dxa"/>
            <w:tcBorders>
              <w:top w:val="single" w:sz="4" w:space="0" w:color="auto"/>
              <w:left w:val="single" w:sz="4" w:space="0" w:color="auto"/>
              <w:bottom w:val="single" w:sz="4" w:space="0" w:color="auto"/>
              <w:right w:val="single" w:sz="4" w:space="0" w:color="auto"/>
            </w:tcBorders>
            <w:shd w:val="clear" w:color="auto" w:fill="auto"/>
            <w:vAlign w:val="bottom"/>
          </w:tcPr>
          <w:p w14:paraId="4BC40354" w14:textId="77777777" w:rsidR="004A78A9" w:rsidRDefault="004A78A9" w:rsidP="004A78A9">
            <w:pPr>
              <w:spacing w:before="0" w:after="0"/>
              <w:rPr>
                <w:rFonts w:ascii="Calibri" w:hAnsi="Calibri"/>
                <w:color w:val="000000"/>
              </w:rPr>
            </w:pPr>
            <w:r>
              <w:rPr>
                <w:rFonts w:ascii="Calibri" w:hAnsi="Calibri"/>
                <w:color w:val="000000"/>
              </w:rPr>
              <w:t>Elektromagnētiskā lauka mērītājs NARDA NBM-550.</w:t>
            </w:r>
          </w:p>
        </w:tc>
      </w:tr>
      <w:tr w:rsidR="004A78A9" w:rsidRPr="00EE1C5B" w14:paraId="000C69E0" w14:textId="77777777" w:rsidTr="004A78A9">
        <w:trPr>
          <w:trHeight w:val="264"/>
        </w:trPr>
        <w:tc>
          <w:tcPr>
            <w:tcW w:w="9470" w:type="dxa"/>
            <w:tcBorders>
              <w:top w:val="single" w:sz="4" w:space="0" w:color="auto"/>
              <w:left w:val="single" w:sz="4" w:space="0" w:color="auto"/>
              <w:bottom w:val="single" w:sz="4" w:space="0" w:color="auto"/>
              <w:right w:val="single" w:sz="4" w:space="0" w:color="auto"/>
            </w:tcBorders>
            <w:shd w:val="clear" w:color="auto" w:fill="222A35" w:themeFill="text2" w:themeFillShade="80"/>
          </w:tcPr>
          <w:p w14:paraId="2ABF181A" w14:textId="77777777" w:rsidR="004A78A9" w:rsidRPr="00EE1C5B" w:rsidRDefault="004A78A9" w:rsidP="004A78A9">
            <w:pPr>
              <w:spacing w:before="0" w:after="0"/>
              <w:jc w:val="center"/>
              <w:rPr>
                <w:rFonts w:ascii="Calibri" w:eastAsia="Times New Roman" w:hAnsi="Calibri" w:cs="Times New Roman"/>
                <w:b/>
                <w:bCs/>
                <w:color w:val="FFFFFF" w:themeColor="background1"/>
                <w:sz w:val="24"/>
                <w:lang w:eastAsia="lv-LV"/>
              </w:rPr>
            </w:pPr>
            <w:r w:rsidRPr="00966949">
              <w:rPr>
                <w:b/>
              </w:rPr>
              <w:t>RTU Organiskās ķīmijas tehnoloģijas institūts</w:t>
            </w:r>
          </w:p>
        </w:tc>
      </w:tr>
      <w:tr w:rsidR="004A78A9" w:rsidRPr="004E2091" w14:paraId="73BA6172" w14:textId="77777777" w:rsidTr="004A78A9">
        <w:trPr>
          <w:trHeight w:val="596"/>
        </w:trPr>
        <w:tc>
          <w:tcPr>
            <w:tcW w:w="9470" w:type="dxa"/>
            <w:tcBorders>
              <w:top w:val="single" w:sz="4" w:space="0" w:color="auto"/>
              <w:left w:val="single" w:sz="4" w:space="0" w:color="auto"/>
              <w:bottom w:val="single" w:sz="4" w:space="0" w:color="auto"/>
              <w:right w:val="single" w:sz="4" w:space="0" w:color="auto"/>
            </w:tcBorders>
            <w:shd w:val="clear" w:color="auto" w:fill="auto"/>
            <w:vAlign w:val="bottom"/>
          </w:tcPr>
          <w:tbl>
            <w:tblPr>
              <w:tblW w:w="9254" w:type="dxa"/>
              <w:tblLook w:val="04A0" w:firstRow="1" w:lastRow="0" w:firstColumn="1" w:lastColumn="0" w:noHBand="0" w:noVBand="1"/>
            </w:tblPr>
            <w:tblGrid>
              <w:gridCol w:w="9254"/>
            </w:tblGrid>
            <w:tr w:rsidR="004A78A9" w:rsidRPr="00966949" w14:paraId="64EA0FC3" w14:textId="77777777" w:rsidTr="006473AB">
              <w:trPr>
                <w:trHeight w:val="600"/>
              </w:trPr>
              <w:tc>
                <w:tcPr>
                  <w:tcW w:w="9254" w:type="dxa"/>
                  <w:tcBorders>
                    <w:top w:val="nil"/>
                    <w:left w:val="nil"/>
                    <w:bottom w:val="nil"/>
                    <w:right w:val="nil"/>
                  </w:tcBorders>
                  <w:shd w:val="clear" w:color="auto" w:fill="auto"/>
                  <w:vAlign w:val="bottom"/>
                  <w:hideMark/>
                </w:tcPr>
                <w:p w14:paraId="77467456" w14:textId="77777777" w:rsidR="004A78A9" w:rsidRPr="00966949" w:rsidRDefault="004A78A9" w:rsidP="004A78A9">
                  <w:pPr>
                    <w:spacing w:before="0" w:after="0"/>
                    <w:rPr>
                      <w:rFonts w:ascii="Calibri" w:eastAsia="Times New Roman" w:hAnsi="Calibri" w:cs="Times New Roman"/>
                      <w:color w:val="000000"/>
                      <w:lang w:eastAsia="lv-LV"/>
                    </w:rPr>
                  </w:pPr>
                  <w:r w:rsidRPr="00966949">
                    <w:rPr>
                      <w:rFonts w:ascii="Calibri" w:eastAsia="Times New Roman" w:hAnsi="Calibri" w:cs="Times New Roman"/>
                      <w:color w:val="000000"/>
                      <w:lang w:eastAsia="lv-LV"/>
                    </w:rPr>
                    <w:t>Titrators 275KF</w:t>
                  </w:r>
                </w:p>
              </w:tc>
            </w:tr>
          </w:tbl>
          <w:p w14:paraId="026B9186" w14:textId="77777777" w:rsidR="004A78A9" w:rsidRDefault="004A78A9" w:rsidP="004A78A9">
            <w:pPr>
              <w:spacing w:before="0" w:after="0"/>
              <w:rPr>
                <w:rFonts w:ascii="Calibri" w:hAnsi="Calibri"/>
                <w:color w:val="000000"/>
              </w:rPr>
            </w:pPr>
          </w:p>
        </w:tc>
      </w:tr>
      <w:tr w:rsidR="004A78A9" w:rsidRPr="004E2091" w14:paraId="423A5F0A" w14:textId="77777777" w:rsidTr="004A78A9">
        <w:trPr>
          <w:trHeight w:val="600"/>
        </w:trPr>
        <w:tc>
          <w:tcPr>
            <w:tcW w:w="9470" w:type="dxa"/>
            <w:tcBorders>
              <w:top w:val="single" w:sz="4" w:space="0" w:color="auto"/>
              <w:left w:val="single" w:sz="4" w:space="0" w:color="auto"/>
              <w:bottom w:val="single" w:sz="4" w:space="0" w:color="auto"/>
              <w:right w:val="single" w:sz="4" w:space="0" w:color="auto"/>
            </w:tcBorders>
            <w:shd w:val="clear" w:color="auto" w:fill="auto"/>
            <w:vAlign w:val="bottom"/>
          </w:tcPr>
          <w:p w14:paraId="50395338" w14:textId="77777777" w:rsidR="004A78A9" w:rsidRDefault="004A78A9" w:rsidP="004A78A9">
            <w:pPr>
              <w:spacing w:before="0" w:after="0"/>
              <w:rPr>
                <w:rFonts w:ascii="Calibri" w:hAnsi="Calibri"/>
                <w:color w:val="000000"/>
              </w:rPr>
            </w:pPr>
            <w:r>
              <w:rPr>
                <w:rFonts w:ascii="Calibri" w:hAnsi="Calibri"/>
                <w:color w:val="000000"/>
              </w:rPr>
              <w:t>  Atomu absorbcijas spektrometrs;</w:t>
            </w:r>
          </w:p>
        </w:tc>
      </w:tr>
      <w:tr w:rsidR="004A78A9" w:rsidRPr="004E2091" w14:paraId="08E4C6BF" w14:textId="77777777" w:rsidTr="004A78A9">
        <w:trPr>
          <w:trHeight w:val="600"/>
        </w:trPr>
        <w:tc>
          <w:tcPr>
            <w:tcW w:w="9470" w:type="dxa"/>
            <w:tcBorders>
              <w:top w:val="single" w:sz="4" w:space="0" w:color="auto"/>
              <w:left w:val="single" w:sz="4" w:space="0" w:color="auto"/>
              <w:bottom w:val="single" w:sz="4" w:space="0" w:color="auto"/>
              <w:right w:val="single" w:sz="4" w:space="0" w:color="auto"/>
            </w:tcBorders>
            <w:shd w:val="clear" w:color="auto" w:fill="auto"/>
            <w:vAlign w:val="bottom"/>
          </w:tcPr>
          <w:p w14:paraId="545CD85A" w14:textId="77777777" w:rsidR="004A78A9" w:rsidRDefault="004A78A9" w:rsidP="004A78A9">
            <w:pPr>
              <w:spacing w:before="0" w:after="0"/>
              <w:rPr>
                <w:rFonts w:ascii="Calibri" w:hAnsi="Calibri"/>
                <w:color w:val="000000"/>
              </w:rPr>
            </w:pPr>
            <w:r>
              <w:rPr>
                <w:rFonts w:ascii="Calibri" w:hAnsi="Calibri"/>
                <w:color w:val="000000"/>
              </w:rPr>
              <w:t>Gaismas mikroskops OLYMPUS BX41 ar digitālo fotografēšanas sistēmu;</w:t>
            </w:r>
          </w:p>
        </w:tc>
      </w:tr>
      <w:tr w:rsidR="004A78A9" w:rsidRPr="004E2091" w14:paraId="3691D6D0" w14:textId="77777777" w:rsidTr="004A78A9">
        <w:trPr>
          <w:trHeight w:val="600"/>
        </w:trPr>
        <w:tc>
          <w:tcPr>
            <w:tcW w:w="9470" w:type="dxa"/>
            <w:tcBorders>
              <w:top w:val="single" w:sz="4" w:space="0" w:color="auto"/>
              <w:left w:val="single" w:sz="4" w:space="0" w:color="auto"/>
              <w:bottom w:val="single" w:sz="4" w:space="0" w:color="auto"/>
              <w:right w:val="single" w:sz="4" w:space="0" w:color="auto"/>
            </w:tcBorders>
            <w:shd w:val="clear" w:color="auto" w:fill="auto"/>
            <w:vAlign w:val="bottom"/>
          </w:tcPr>
          <w:p w14:paraId="4BA93CE4" w14:textId="77777777" w:rsidR="004A78A9" w:rsidRDefault="004A78A9" w:rsidP="004A78A9">
            <w:pPr>
              <w:spacing w:before="0" w:after="0"/>
              <w:rPr>
                <w:rFonts w:ascii="Calibri" w:hAnsi="Calibri"/>
                <w:color w:val="000000"/>
              </w:rPr>
            </w:pPr>
            <w:r>
              <w:rPr>
                <w:rFonts w:ascii="Calibri" w:hAnsi="Calibri"/>
                <w:color w:val="000000"/>
              </w:rPr>
              <w:t>Elektromagnētiskā lauka mērītājs NARDA NBM-550.</w:t>
            </w:r>
          </w:p>
        </w:tc>
      </w:tr>
      <w:tr w:rsidR="004A78A9" w:rsidRPr="004E2091" w14:paraId="616E9791" w14:textId="77777777" w:rsidTr="004A78A9">
        <w:trPr>
          <w:trHeight w:val="600"/>
        </w:trPr>
        <w:tc>
          <w:tcPr>
            <w:tcW w:w="9470" w:type="dxa"/>
            <w:tcBorders>
              <w:top w:val="single" w:sz="4" w:space="0" w:color="auto"/>
              <w:left w:val="single" w:sz="4" w:space="0" w:color="auto"/>
              <w:bottom w:val="single" w:sz="4" w:space="0" w:color="auto"/>
              <w:right w:val="single" w:sz="4" w:space="0" w:color="auto"/>
            </w:tcBorders>
            <w:shd w:val="clear" w:color="auto" w:fill="auto"/>
            <w:vAlign w:val="bottom"/>
          </w:tcPr>
          <w:p w14:paraId="13EAB731" w14:textId="77777777" w:rsidR="004A78A9" w:rsidRPr="00966949" w:rsidRDefault="004A78A9" w:rsidP="004A78A9">
            <w:pPr>
              <w:spacing w:before="0" w:after="0"/>
              <w:rPr>
                <w:rFonts w:ascii="Calibri" w:eastAsia="Times New Roman" w:hAnsi="Calibri" w:cs="Times New Roman"/>
                <w:color w:val="000000"/>
                <w:lang w:eastAsia="lv-LV"/>
              </w:rPr>
            </w:pPr>
            <w:r w:rsidRPr="00966949">
              <w:rPr>
                <w:rFonts w:ascii="Calibri" w:eastAsia="Times New Roman" w:hAnsi="Calibri" w:cs="Times New Roman"/>
                <w:color w:val="000000"/>
                <w:lang w:eastAsia="lv-LV"/>
              </w:rPr>
              <w:t>Modulārais riņķveida polarimetrs MCP 500 optiski aktīvu vielu analīzei</w:t>
            </w:r>
          </w:p>
          <w:p w14:paraId="2E828D2C" w14:textId="77777777" w:rsidR="004A78A9" w:rsidRDefault="004A78A9" w:rsidP="004A78A9">
            <w:pPr>
              <w:spacing w:before="0" w:after="0"/>
              <w:rPr>
                <w:rFonts w:ascii="Calibri" w:hAnsi="Calibri"/>
                <w:color w:val="000000"/>
              </w:rPr>
            </w:pPr>
          </w:p>
        </w:tc>
      </w:tr>
      <w:tr w:rsidR="004A78A9" w:rsidRPr="004E2091" w14:paraId="679325A4" w14:textId="77777777" w:rsidTr="004A78A9">
        <w:trPr>
          <w:trHeight w:val="600"/>
        </w:trPr>
        <w:tc>
          <w:tcPr>
            <w:tcW w:w="9470" w:type="dxa"/>
            <w:tcBorders>
              <w:top w:val="single" w:sz="4" w:space="0" w:color="auto"/>
              <w:left w:val="single" w:sz="4" w:space="0" w:color="auto"/>
              <w:bottom w:val="single" w:sz="4" w:space="0" w:color="auto"/>
              <w:right w:val="single" w:sz="4" w:space="0" w:color="auto"/>
            </w:tcBorders>
            <w:shd w:val="clear" w:color="auto" w:fill="auto"/>
            <w:vAlign w:val="bottom"/>
          </w:tcPr>
          <w:p w14:paraId="6AB9738F" w14:textId="77777777" w:rsidR="004A78A9" w:rsidRDefault="004A78A9" w:rsidP="004A78A9">
            <w:pPr>
              <w:spacing w:before="0" w:after="0"/>
              <w:rPr>
                <w:rFonts w:ascii="Calibri" w:hAnsi="Calibri"/>
                <w:color w:val="000000"/>
              </w:rPr>
            </w:pPr>
            <w:r w:rsidRPr="00966949">
              <w:rPr>
                <w:rFonts w:ascii="Calibri" w:eastAsia="Times New Roman" w:hAnsi="Calibri" w:cs="Times New Roman"/>
                <w:color w:val="000000"/>
                <w:lang w:eastAsia="lv-LV"/>
              </w:rPr>
              <w:t>Konstantas temperatūras vanna CANNON CT-500 / 518 kinemātisko viskozitāti mērījumiem ar stikla kapilārā viskozimetri</w:t>
            </w:r>
          </w:p>
        </w:tc>
      </w:tr>
      <w:tr w:rsidR="004A78A9" w:rsidRPr="004E2091" w14:paraId="16D07421" w14:textId="77777777" w:rsidTr="004A78A9">
        <w:trPr>
          <w:trHeight w:val="600"/>
        </w:trPr>
        <w:tc>
          <w:tcPr>
            <w:tcW w:w="9470" w:type="dxa"/>
            <w:tcBorders>
              <w:top w:val="single" w:sz="4" w:space="0" w:color="auto"/>
              <w:left w:val="single" w:sz="4" w:space="0" w:color="auto"/>
              <w:bottom w:val="single" w:sz="4" w:space="0" w:color="auto"/>
              <w:right w:val="single" w:sz="4" w:space="0" w:color="auto"/>
            </w:tcBorders>
            <w:shd w:val="clear" w:color="auto" w:fill="auto"/>
            <w:vAlign w:val="bottom"/>
          </w:tcPr>
          <w:p w14:paraId="1317E59D" w14:textId="77777777" w:rsidR="004A78A9" w:rsidRPr="00966949" w:rsidRDefault="004A78A9" w:rsidP="004A78A9">
            <w:pPr>
              <w:spacing w:before="0" w:after="0"/>
              <w:rPr>
                <w:rFonts w:ascii="Calibri" w:eastAsia="Times New Roman" w:hAnsi="Calibri" w:cs="Times New Roman"/>
                <w:color w:val="000000"/>
                <w:lang w:eastAsia="lv-LV"/>
              </w:rPr>
            </w:pPr>
            <w:r w:rsidRPr="00966949">
              <w:rPr>
                <w:rFonts w:ascii="Calibri" w:eastAsia="Times New Roman" w:hAnsi="Calibri" w:cs="Times New Roman"/>
                <w:color w:val="000000"/>
                <w:lang w:eastAsia="lv-LV"/>
              </w:rPr>
              <w:t>Saldēšanas žāvētājs VirTis BenchTop Pro</w:t>
            </w:r>
          </w:p>
        </w:tc>
      </w:tr>
      <w:tr w:rsidR="004A78A9" w:rsidRPr="004E2091" w14:paraId="587EB47A" w14:textId="77777777" w:rsidTr="004A78A9">
        <w:trPr>
          <w:trHeight w:val="600"/>
        </w:trPr>
        <w:tc>
          <w:tcPr>
            <w:tcW w:w="9470" w:type="dxa"/>
            <w:tcBorders>
              <w:top w:val="single" w:sz="4" w:space="0" w:color="auto"/>
              <w:left w:val="single" w:sz="4" w:space="0" w:color="auto"/>
              <w:bottom w:val="single" w:sz="4" w:space="0" w:color="auto"/>
              <w:right w:val="single" w:sz="4" w:space="0" w:color="auto"/>
            </w:tcBorders>
            <w:shd w:val="clear" w:color="auto" w:fill="auto"/>
            <w:vAlign w:val="bottom"/>
          </w:tcPr>
          <w:p w14:paraId="5603E363" w14:textId="77777777" w:rsidR="004A78A9" w:rsidRPr="00966949" w:rsidRDefault="004A78A9" w:rsidP="004A78A9">
            <w:pPr>
              <w:spacing w:before="0" w:after="0"/>
              <w:rPr>
                <w:rFonts w:ascii="Calibri" w:eastAsia="Times New Roman" w:hAnsi="Calibri" w:cs="Times New Roman"/>
                <w:color w:val="000000"/>
                <w:lang w:eastAsia="lv-LV"/>
              </w:rPr>
            </w:pPr>
            <w:r w:rsidRPr="00966949">
              <w:rPr>
                <w:rFonts w:ascii="Calibri" w:eastAsia="Times New Roman" w:hAnsi="Calibri" w:cs="Times New Roman"/>
                <w:color w:val="000000"/>
                <w:lang w:eastAsia="lv-LV"/>
              </w:rPr>
              <w:lastRenderedPageBreak/>
              <w:t>Gāzes hromatogrāfs Agilent 6890N (2gab.)</w:t>
            </w:r>
          </w:p>
          <w:p w14:paraId="6E373F27" w14:textId="77777777" w:rsidR="004A78A9" w:rsidRDefault="004A78A9" w:rsidP="004A78A9">
            <w:pPr>
              <w:spacing w:before="0" w:after="0"/>
              <w:rPr>
                <w:rFonts w:ascii="Calibri" w:hAnsi="Calibri"/>
                <w:color w:val="000000"/>
              </w:rPr>
            </w:pPr>
          </w:p>
        </w:tc>
      </w:tr>
      <w:tr w:rsidR="004A78A9" w:rsidRPr="004E2091" w14:paraId="352FB3B1" w14:textId="77777777" w:rsidTr="004A78A9">
        <w:trPr>
          <w:trHeight w:val="600"/>
        </w:trPr>
        <w:tc>
          <w:tcPr>
            <w:tcW w:w="9470" w:type="dxa"/>
            <w:tcBorders>
              <w:top w:val="single" w:sz="4" w:space="0" w:color="auto"/>
              <w:left w:val="single" w:sz="4" w:space="0" w:color="auto"/>
              <w:bottom w:val="single" w:sz="4" w:space="0" w:color="auto"/>
              <w:right w:val="single" w:sz="4" w:space="0" w:color="auto"/>
            </w:tcBorders>
            <w:shd w:val="clear" w:color="auto" w:fill="auto"/>
            <w:vAlign w:val="bottom"/>
          </w:tcPr>
          <w:p w14:paraId="0FDE8929" w14:textId="77777777" w:rsidR="004A78A9" w:rsidRPr="00966949" w:rsidRDefault="004A78A9" w:rsidP="004A78A9">
            <w:pPr>
              <w:spacing w:before="0" w:after="0"/>
              <w:rPr>
                <w:rFonts w:ascii="Calibri" w:eastAsia="Times New Roman" w:hAnsi="Calibri" w:cs="Times New Roman"/>
                <w:color w:val="000000"/>
                <w:lang w:eastAsia="lv-LV"/>
              </w:rPr>
            </w:pPr>
            <w:r w:rsidRPr="00966949">
              <w:rPr>
                <w:rFonts w:ascii="Calibri" w:eastAsia="Times New Roman" w:hAnsi="Calibri" w:cs="Times New Roman"/>
                <w:color w:val="000000"/>
                <w:lang w:eastAsia="lv-LV"/>
              </w:rPr>
              <w:t>Eļļas prese eļļas ražošanai</w:t>
            </w:r>
          </w:p>
          <w:p w14:paraId="67409F64" w14:textId="77777777" w:rsidR="004A78A9" w:rsidRDefault="004A78A9" w:rsidP="004A78A9">
            <w:pPr>
              <w:spacing w:before="0" w:after="0"/>
              <w:rPr>
                <w:rFonts w:ascii="Calibri" w:hAnsi="Calibri"/>
                <w:color w:val="000000"/>
              </w:rPr>
            </w:pPr>
          </w:p>
        </w:tc>
      </w:tr>
      <w:tr w:rsidR="004A78A9" w:rsidRPr="00966949" w14:paraId="35FD52FE" w14:textId="77777777" w:rsidTr="004A78A9">
        <w:trPr>
          <w:trHeight w:val="600"/>
        </w:trPr>
        <w:tc>
          <w:tcPr>
            <w:tcW w:w="9470" w:type="dxa"/>
            <w:tcBorders>
              <w:top w:val="single" w:sz="4" w:space="0" w:color="auto"/>
              <w:left w:val="single" w:sz="4" w:space="0" w:color="auto"/>
              <w:bottom w:val="single" w:sz="4" w:space="0" w:color="auto"/>
              <w:right w:val="single" w:sz="4" w:space="0" w:color="auto"/>
            </w:tcBorders>
            <w:shd w:val="clear" w:color="auto" w:fill="auto"/>
            <w:vAlign w:val="bottom"/>
          </w:tcPr>
          <w:p w14:paraId="020D6A84" w14:textId="77777777" w:rsidR="004A78A9" w:rsidRPr="00966949" w:rsidRDefault="004A78A9" w:rsidP="004A78A9">
            <w:pPr>
              <w:spacing w:before="0" w:after="0"/>
              <w:rPr>
                <w:rFonts w:ascii="Calibri" w:eastAsia="Times New Roman" w:hAnsi="Calibri" w:cs="Times New Roman"/>
                <w:color w:val="000000"/>
                <w:lang w:eastAsia="lv-LV"/>
              </w:rPr>
            </w:pPr>
            <w:r w:rsidRPr="00966949">
              <w:rPr>
                <w:rFonts w:ascii="Calibri" w:eastAsia="Times New Roman" w:hAnsi="Calibri" w:cs="Times New Roman"/>
                <w:color w:val="000000"/>
                <w:lang w:eastAsia="lv-LV"/>
              </w:rPr>
              <w:t>Spektrometri SPECTRUM, AVANCE</w:t>
            </w:r>
          </w:p>
          <w:tbl>
            <w:tblPr>
              <w:tblW w:w="9254" w:type="dxa"/>
              <w:tblLook w:val="04A0" w:firstRow="1" w:lastRow="0" w:firstColumn="1" w:lastColumn="0" w:noHBand="0" w:noVBand="1"/>
            </w:tblPr>
            <w:tblGrid>
              <w:gridCol w:w="9254"/>
            </w:tblGrid>
            <w:tr w:rsidR="004A78A9" w:rsidRPr="00966949" w14:paraId="61BCB938" w14:textId="77777777" w:rsidTr="006473AB">
              <w:trPr>
                <w:trHeight w:val="600"/>
              </w:trPr>
              <w:tc>
                <w:tcPr>
                  <w:tcW w:w="9254" w:type="dxa"/>
                  <w:tcBorders>
                    <w:top w:val="nil"/>
                    <w:left w:val="nil"/>
                    <w:bottom w:val="nil"/>
                    <w:right w:val="nil"/>
                  </w:tcBorders>
                  <w:shd w:val="clear" w:color="auto" w:fill="auto"/>
                  <w:vAlign w:val="bottom"/>
                  <w:hideMark/>
                </w:tcPr>
                <w:p w14:paraId="57BBFBEE" w14:textId="77777777" w:rsidR="004A78A9" w:rsidRPr="00966949" w:rsidRDefault="004A78A9" w:rsidP="004A78A9">
                  <w:pPr>
                    <w:spacing w:before="0" w:after="0"/>
                    <w:rPr>
                      <w:rFonts w:ascii="Calibri" w:eastAsia="Times New Roman" w:hAnsi="Calibri" w:cs="Times New Roman"/>
                      <w:color w:val="000000"/>
                      <w:lang w:eastAsia="lv-LV"/>
                    </w:rPr>
                  </w:pPr>
                  <w:r w:rsidRPr="00966949">
                    <w:rPr>
                      <w:rFonts w:ascii="Calibri" w:eastAsia="Times New Roman" w:hAnsi="Calibri" w:cs="Times New Roman"/>
                      <w:color w:val="000000"/>
                      <w:lang w:eastAsia="lv-LV"/>
                    </w:rPr>
                    <w:t>UV/redzamais spektrometrs M550</w:t>
                  </w:r>
                </w:p>
              </w:tc>
            </w:tr>
          </w:tbl>
          <w:p w14:paraId="201A8F6F" w14:textId="77777777" w:rsidR="004A78A9" w:rsidRPr="00966949" w:rsidRDefault="004A78A9" w:rsidP="004A78A9">
            <w:pPr>
              <w:spacing w:before="0" w:after="0"/>
              <w:rPr>
                <w:rFonts w:ascii="Calibri" w:eastAsia="Times New Roman" w:hAnsi="Calibri" w:cs="Times New Roman"/>
                <w:color w:val="000000"/>
                <w:lang w:eastAsia="lv-LV"/>
              </w:rPr>
            </w:pPr>
            <w:r w:rsidRPr="00966949">
              <w:rPr>
                <w:rFonts w:ascii="Calibri" w:eastAsia="Times New Roman" w:hAnsi="Calibri" w:cs="Times New Roman"/>
                <w:color w:val="000000"/>
                <w:lang w:eastAsia="lv-LV"/>
              </w:rPr>
              <w:t xml:space="preserve"> Bioloģiskā augsti efektīvā šķidruma hromatogrāfijas sistēma;</w:t>
            </w:r>
          </w:p>
        </w:tc>
      </w:tr>
    </w:tbl>
    <w:p w14:paraId="5265A08E" w14:textId="77777777" w:rsidR="004A78A9" w:rsidRPr="00CD6357" w:rsidRDefault="004A78A9" w:rsidP="004A78A9"/>
    <w:p w14:paraId="618E0776" w14:textId="77777777" w:rsidR="004A78A9" w:rsidRDefault="004A78A9" w:rsidP="004A78A9"/>
    <w:p w14:paraId="20C1241E" w14:textId="77777777" w:rsidR="004A78A9" w:rsidRPr="004A78A9" w:rsidRDefault="004A78A9" w:rsidP="004A78A9"/>
    <w:p w14:paraId="5FFB701F" w14:textId="77777777" w:rsidR="004A78A9" w:rsidRPr="00CD6357" w:rsidRDefault="004A78A9" w:rsidP="004A78A9"/>
    <w:p w14:paraId="424C4993" w14:textId="77777777" w:rsidR="004A78A9" w:rsidRPr="004A78A9" w:rsidRDefault="004A78A9" w:rsidP="004A78A9"/>
    <w:sectPr w:rsidR="004A78A9" w:rsidRPr="004A78A9" w:rsidSect="003C3E93">
      <w:headerReference w:type="default" r:id="rId65"/>
      <w:footerReference w:type="default" r:id="rId66"/>
      <w:pgSz w:w="11906" w:h="16838" w:code="9"/>
      <w:pgMar w:top="1843" w:right="1797" w:bottom="1440"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EBB802" w14:textId="77777777" w:rsidR="00853FAB" w:rsidRDefault="00853FAB" w:rsidP="00F91137">
      <w:r>
        <w:separator/>
      </w:r>
    </w:p>
  </w:endnote>
  <w:endnote w:type="continuationSeparator" w:id="0">
    <w:p w14:paraId="06BD2135" w14:textId="77777777" w:rsidR="00853FAB" w:rsidRDefault="00853FAB" w:rsidP="00F91137">
      <w:r>
        <w:continuationSeparator/>
      </w:r>
    </w:p>
  </w:endnote>
  <w:endnote w:type="continuationNotice" w:id="1">
    <w:p w14:paraId="0DD3897D" w14:textId="77777777" w:rsidR="00853FAB" w:rsidRDefault="00853FAB" w:rsidP="00F9113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Segoe UI Light">
    <w:panose1 w:val="020B0502040204020203"/>
    <w:charset w:val="BA"/>
    <w:family w:val="swiss"/>
    <w:pitch w:val="variable"/>
    <w:sig w:usb0="E4002EFF" w:usb1="C000E47F" w:usb2="00000009" w:usb3="00000000" w:csb0="000001FF" w:csb1="00000000"/>
  </w:font>
  <w:font w:name="Aharoni">
    <w:charset w:val="B1"/>
    <w:family w:val="auto"/>
    <w:pitch w:val="variable"/>
    <w:sig w:usb0="00000803" w:usb1="00000000" w:usb2="00000000" w:usb3="00000000" w:csb0="00000021" w:csb1="00000000"/>
  </w:font>
  <w:font w:name="Open Sans">
    <w:charset w:val="00"/>
    <w:family w:val="swiss"/>
    <w:pitch w:val="variable"/>
    <w:sig w:usb0="E00002EF" w:usb1="4000205B" w:usb2="00000028" w:usb3="00000000" w:csb0="0000019F" w:csb1="00000000"/>
  </w:font>
  <w:font w:name="Helvetica">
    <w:panose1 w:val="020B0604020202020204"/>
    <w:charset w:val="BA"/>
    <w:family w:val="swiss"/>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entury Gothic">
    <w:panose1 w:val="020B0502020202020204"/>
    <w:charset w:val="BA"/>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B52282" w14:textId="21F1DE9B" w:rsidR="006E36FB" w:rsidRDefault="00000000" w:rsidP="008A30A1">
    <w:pPr>
      <w:pStyle w:val="Footer"/>
      <w:pBdr>
        <w:top w:val="single" w:sz="4" w:space="1" w:color="D9D9D9" w:themeColor="background1" w:themeShade="D9"/>
      </w:pBdr>
      <w:jc w:val="right"/>
    </w:pPr>
    <w:sdt>
      <w:sdtPr>
        <w:rPr>
          <w:noProof w:val="0"/>
        </w:rPr>
        <w:id w:val="1611012293"/>
        <w:docPartObj>
          <w:docPartGallery w:val="Page Numbers (Bottom of Page)"/>
          <w:docPartUnique/>
        </w:docPartObj>
      </w:sdtPr>
      <w:sdtEndPr>
        <w:rPr>
          <w:noProof/>
          <w:spacing w:val="60"/>
        </w:rPr>
      </w:sdtEndPr>
      <w:sdtContent>
        <w:r w:rsidR="006E36FB" w:rsidRPr="008A30A1">
          <w:rPr>
            <w:noProof w:val="0"/>
            <w:color w:val="5B9BD5" w:themeColor="accent1"/>
          </w:rPr>
          <w:fldChar w:fldCharType="begin"/>
        </w:r>
        <w:r w:rsidR="006E36FB" w:rsidRPr="008A30A1">
          <w:rPr>
            <w:color w:val="5B9BD5" w:themeColor="accent1"/>
          </w:rPr>
          <w:instrText xml:space="preserve"> PAGE   \* MERGEFORMAT </w:instrText>
        </w:r>
        <w:r w:rsidR="006E36FB" w:rsidRPr="008A30A1">
          <w:rPr>
            <w:noProof w:val="0"/>
            <w:color w:val="5B9BD5" w:themeColor="accent1"/>
          </w:rPr>
          <w:fldChar w:fldCharType="separate"/>
        </w:r>
        <w:r w:rsidR="006E36FB">
          <w:rPr>
            <w:color w:val="5B9BD5" w:themeColor="accent1"/>
          </w:rPr>
          <w:t>83</w:t>
        </w:r>
        <w:r w:rsidR="006E36FB" w:rsidRPr="008A30A1">
          <w:rPr>
            <w:color w:val="5B9BD5" w:themeColor="accent1"/>
          </w:rPr>
          <w:fldChar w:fldCharType="end"/>
        </w:r>
        <w:r w:rsidR="006E36FB" w:rsidRPr="008A30A1">
          <w:rPr>
            <w:color w:val="5B9BD5" w:themeColor="accent1"/>
          </w:rPr>
          <w:t xml:space="preserve"> | </w:t>
        </w:r>
        <w:r w:rsidR="006E36FB" w:rsidRPr="008A30A1">
          <w:rPr>
            <w:color w:val="5B9BD5" w:themeColor="accent1"/>
          </w:rPr>
          <w:fldChar w:fldCharType="begin"/>
        </w:r>
        <w:r w:rsidR="006E36FB" w:rsidRPr="008A30A1">
          <w:rPr>
            <w:color w:val="5B9BD5" w:themeColor="accent1"/>
          </w:rPr>
          <w:instrText xml:space="preserve"> NUMPAGES  \* Arabic  \* MERGEFORMAT </w:instrText>
        </w:r>
        <w:r w:rsidR="006E36FB" w:rsidRPr="008A30A1">
          <w:rPr>
            <w:color w:val="5B9BD5" w:themeColor="accent1"/>
          </w:rPr>
          <w:fldChar w:fldCharType="separate"/>
        </w:r>
        <w:r w:rsidR="006E36FB">
          <w:rPr>
            <w:color w:val="5B9BD5" w:themeColor="accent1"/>
          </w:rPr>
          <w:t>86</w:t>
        </w:r>
        <w:r w:rsidR="006E36FB" w:rsidRPr="008A30A1">
          <w:rPr>
            <w:color w:val="5B9BD5" w:themeColor="accent1"/>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85DBB1" w14:textId="77777777" w:rsidR="00853FAB" w:rsidRDefault="00853FAB" w:rsidP="00F91137">
      <w:r>
        <w:separator/>
      </w:r>
    </w:p>
  </w:footnote>
  <w:footnote w:type="continuationSeparator" w:id="0">
    <w:p w14:paraId="3FD85037" w14:textId="77777777" w:rsidR="00853FAB" w:rsidRDefault="00853FAB" w:rsidP="00F91137">
      <w:r>
        <w:continuationSeparator/>
      </w:r>
    </w:p>
  </w:footnote>
  <w:footnote w:type="continuationNotice" w:id="1">
    <w:p w14:paraId="19375D2B" w14:textId="77777777" w:rsidR="00853FAB" w:rsidRDefault="00853FAB" w:rsidP="00F91137"/>
  </w:footnote>
  <w:footnote w:id="2">
    <w:p w14:paraId="09E08D32" w14:textId="2AA24350" w:rsidR="006E36FB" w:rsidRDefault="006E36FB" w:rsidP="00DF53A6">
      <w:pPr>
        <w:pStyle w:val="FootnoteText"/>
        <w:spacing w:before="0" w:after="0"/>
      </w:pPr>
      <w:r>
        <w:rPr>
          <w:rStyle w:val="FootnoteReference"/>
        </w:rPr>
        <w:footnoteRef/>
      </w:r>
      <w:r>
        <w:t xml:space="preserve"> </w:t>
      </w:r>
      <w:r>
        <w:fldChar w:fldCharType="begin"/>
      </w:r>
      <w:r>
        <w:instrText xml:space="preserve"> ADDIN ZOTERO_ITEM CSL_CITATION {"citationID":"AaoqXYiK","properties":{"formattedCitation":"Cefic, \"The European Chemical Industry Facts &amp; Figures 2013\", 2.","plainCitation":"Cefic, \"The European Chemical Industry Facts &amp; Figures 2013\", 2."},"citationItems":[{"id":23,"uris":["http://zotero.org/groups/284232/items/6ZGGMRR9"],"uri":["http://zotero.org/groups/284232/items/6ZGGMRR9"],"itemData":{"id":23,"type":"article-journal","title":"The European Chemical Industry Facts &amp; Figures 2013","author":[{"family":"Cefic","given":""}],"issued":{"date-parts":[["2014"]]}},"locator":"2"}],"schema":"https://github.com/citation-style-language/schema/raw/master/csl-citation.json"} </w:instrText>
      </w:r>
      <w:r>
        <w:fldChar w:fldCharType="separate"/>
      </w:r>
      <w:r w:rsidRPr="00AB2518">
        <w:rPr>
          <w:rFonts w:ascii="Segoe UI" w:hAnsi="Segoe UI" w:cs="Segoe UI"/>
        </w:rPr>
        <w:t>Cefic, "The European Chemical Industry Facts &amp; Figures 201</w:t>
      </w:r>
      <w:r w:rsidR="001029B4">
        <w:rPr>
          <w:rFonts w:ascii="Segoe UI" w:hAnsi="Segoe UI" w:cs="Segoe UI"/>
        </w:rPr>
        <w:t>6</w:t>
      </w:r>
      <w:r w:rsidRPr="00AB2518">
        <w:rPr>
          <w:rFonts w:ascii="Segoe UI" w:hAnsi="Segoe UI" w:cs="Segoe UI"/>
        </w:rPr>
        <w:t>", 2.</w:t>
      </w:r>
      <w:r>
        <w:fldChar w:fldCharType="end"/>
      </w:r>
    </w:p>
  </w:footnote>
  <w:footnote w:id="3">
    <w:p w14:paraId="069566D3" w14:textId="77777777" w:rsidR="006E36FB" w:rsidRDefault="006E36FB" w:rsidP="00DF53A6">
      <w:pPr>
        <w:pStyle w:val="FootnoteText"/>
        <w:spacing w:before="0" w:after="0"/>
      </w:pPr>
      <w:r>
        <w:rPr>
          <w:rStyle w:val="FootnoteReference"/>
        </w:rPr>
        <w:footnoteRef/>
      </w:r>
      <w:r>
        <w:t xml:space="preserve"> Jāņem vērā, ka ķīmijas industrijas definīcijas ietvars mainās no avota uz avotu, tāpēc skaitļi parasti nav salīdzināmi, tie izmantojami tikai tendenču vērtēšanai. Šajā gadījumā nav ietverta farmācija, viedie materiāli un naftas produkti.</w:t>
      </w:r>
    </w:p>
  </w:footnote>
  <w:footnote w:id="4">
    <w:p w14:paraId="2C964DD9" w14:textId="77777777" w:rsidR="006E36FB" w:rsidRDefault="006E36FB" w:rsidP="00DF53A6">
      <w:pPr>
        <w:pStyle w:val="FootnoteText"/>
        <w:spacing w:before="0" w:after="0"/>
      </w:pPr>
      <w:r>
        <w:rPr>
          <w:rStyle w:val="FootnoteReference"/>
        </w:rPr>
        <w:footnoteRef/>
      </w:r>
      <w:r>
        <w:t xml:space="preserve"> </w:t>
      </w:r>
      <w:r>
        <w:fldChar w:fldCharType="begin"/>
      </w:r>
      <w:r>
        <w:instrText xml:space="preserve"> ADDIN ZOTERO_ITEM CSL_CITATION {"citationID":"woPKQ9Xl","properties":{"formattedCitation":"PwC, \"Shale gas Reshaping the US chemicals industry\".","plainCitation":"PwC, \"Shale gas Reshaping the US chemicals industry\"."},"citationItems":[{"id":40,"uris":["http://zotero.org/groups/284232/items/E64J528T"],"uri":["http://zotero.org/groups/284232/items/E64J528T"],"itemData":{"id":40,"type":"article-journal","title":"Shale gas Reshaping the US chemicals industry","author":[{"family":"PwC","given":""}],"issued":{"date-parts":[["2012"]]}}}],"schema":"https://github.com/citation-style-language/schema/raw/master/csl-citation.json"} </w:instrText>
      </w:r>
      <w:r>
        <w:fldChar w:fldCharType="separate"/>
      </w:r>
      <w:r w:rsidRPr="00AB2518">
        <w:rPr>
          <w:rFonts w:ascii="Segoe UI" w:hAnsi="Segoe UI" w:cs="Segoe UI"/>
        </w:rPr>
        <w:t>PwC, "Shale gas Reshaping the US chemicals industry".</w:t>
      </w:r>
      <w:r>
        <w:fldChar w:fldCharType="end"/>
      </w:r>
    </w:p>
  </w:footnote>
  <w:footnote w:id="5">
    <w:p w14:paraId="1D354338" w14:textId="77777777" w:rsidR="006E36FB" w:rsidRDefault="006E36FB" w:rsidP="00DF53A6">
      <w:pPr>
        <w:pStyle w:val="FootnoteText"/>
        <w:spacing w:before="0" w:after="0"/>
      </w:pPr>
      <w:r>
        <w:rPr>
          <w:rStyle w:val="FootnoteReference"/>
        </w:rPr>
        <w:footnoteRef/>
      </w:r>
      <w:r>
        <w:t xml:space="preserve"> </w:t>
      </w:r>
      <w:r>
        <w:fldChar w:fldCharType="begin"/>
      </w:r>
      <w:r>
        <w:instrText xml:space="preserve"> ADDIN ZOTERO_ITEM CSL_CITATION {"citationID":"F4W5xVpi","properties":{"formattedCitation":"Cefic, \"The European Chemical Industry Facts &amp; Figures 2013\".","plainCitation":"Cefic, \"The European Chemical Industry Facts &amp; Figures 2013\"."},"citationItems":[{"id":23,"uris":["http://zotero.org/groups/284232/items/6ZGGMRR9"],"uri":["http://zotero.org/groups/284232/items/6ZGGMRR9"],"itemData":{"id":23,"type":"article-journal","title":"The European Chemical Industry Facts &amp; Figures 2013","author":[{"family":"Cefic","given":""}],"issued":{"date-parts":[["2014"]]}}}],"schema":"https://github.com/citation-style-language/schema/raw/master/csl-citation.json"} </w:instrText>
      </w:r>
      <w:r>
        <w:fldChar w:fldCharType="separate"/>
      </w:r>
      <w:r w:rsidRPr="00AB2518">
        <w:rPr>
          <w:rFonts w:ascii="Segoe UI" w:hAnsi="Segoe UI" w:cs="Segoe UI"/>
        </w:rPr>
        <w:t>Cefic, "The European Chemical Industry Facts &amp; Figures 2013".</w:t>
      </w:r>
      <w:r>
        <w:fldChar w:fldCharType="end"/>
      </w:r>
    </w:p>
  </w:footnote>
  <w:footnote w:id="6">
    <w:p w14:paraId="38FD0318" w14:textId="5320447E" w:rsidR="006E36FB" w:rsidRDefault="006E36FB" w:rsidP="00DF53A6">
      <w:pPr>
        <w:pStyle w:val="FootnoteText"/>
        <w:spacing w:before="0" w:after="0"/>
      </w:pPr>
      <w:r>
        <w:rPr>
          <w:rStyle w:val="FootnoteReference"/>
        </w:rPr>
        <w:footnoteRef/>
      </w:r>
      <w:r>
        <w:t xml:space="preserve"> Šajā kategorijā ietilpst kosmētikas ražošana</w:t>
      </w:r>
    </w:p>
  </w:footnote>
  <w:footnote w:id="7">
    <w:p w14:paraId="1F607677" w14:textId="77777777" w:rsidR="006E36FB" w:rsidRDefault="006E36FB" w:rsidP="00DF53A6">
      <w:pPr>
        <w:pStyle w:val="FootnoteText"/>
        <w:spacing w:before="0" w:after="0"/>
      </w:pPr>
      <w:r>
        <w:rPr>
          <w:rStyle w:val="FootnoteReference"/>
        </w:rPr>
        <w:footnoteRef/>
      </w:r>
      <w:r>
        <w:t xml:space="preserve"> </w:t>
      </w:r>
      <w:r>
        <w:fldChar w:fldCharType="begin"/>
      </w:r>
      <w:r>
        <w:instrText xml:space="preserve"> ADDIN ZOTERO_ITEM CSL_CITATION {"citationID":"GoKsANhA","properties":{"formattedCitation":"Bartels, Augat, un Budde, \"Structural drivers of value creation in the chemical industry\".","plainCitation":"Bartels, Augat, un Budde, \"Structural drivers of value creation in the chemical industry\"."},"citationItems":[{"id":15,"uris":["http://zotero.org/groups/284232/items/56AUNKX4"],"uri":["http://zotero.org/groups/284232/items/56AUNKX4"],"itemData":{"id":15,"type":"article-journal","title":"Structural drivers of value creation in the chemical industry","container-title":"Value Creation: Strategies for the Chemical Industry, Second Edition","page":"27–39","author":[{"family":"Bartels","given":"Eric"},{"family":"Augat","given":"Thomas"},{"family":"Budde","given":"Florian"}],"issued":{"date-parts":[["2006"]]}}}],"schema":"https://github.com/citation-style-language/schema/raw/master/csl-citation.json"} </w:instrText>
      </w:r>
      <w:r>
        <w:fldChar w:fldCharType="separate"/>
      </w:r>
      <w:r w:rsidRPr="00AB2518">
        <w:rPr>
          <w:rFonts w:ascii="Segoe UI" w:hAnsi="Segoe UI" w:cs="Segoe UI"/>
        </w:rPr>
        <w:t>Bartels, Augat, un Budde, "Structural drivers of value creation in the chemical industry".</w:t>
      </w:r>
      <w:r>
        <w:fldChar w:fldCharType="end"/>
      </w:r>
    </w:p>
  </w:footnote>
  <w:footnote w:id="8">
    <w:p w14:paraId="52AD72C5" w14:textId="77777777" w:rsidR="006E36FB" w:rsidRDefault="006E36FB" w:rsidP="00DF53A6">
      <w:pPr>
        <w:pStyle w:val="FootnoteText"/>
        <w:spacing w:before="0" w:after="0"/>
      </w:pPr>
      <w:r>
        <w:rPr>
          <w:rStyle w:val="FootnoteReference"/>
        </w:rPr>
        <w:footnoteRef/>
      </w:r>
      <w:r>
        <w:t xml:space="preserve"> </w:t>
      </w:r>
      <w:r>
        <w:fldChar w:fldCharType="begin"/>
      </w:r>
      <w:r>
        <w:instrText xml:space="preserve"> ADDIN ZOTERO_ITEM CSL_CITATION {"citationID":"PO9M43He","properties":{"formattedCitation":"{\\rtf Booz &amp; Company, \\i Pharma Emerging Markets 2.0\\i0{}, 12\\\\.}","plainCitation":"Booz &amp; Company, Pharma Emerging Markets 2.0, 12\\."},"citationItems":[{"id":54,"uris":["http://zotero.org/groups/284232/items/JTK64D58"],"uri":["http://zotero.org/groups/284232/items/JTK64D58"],"itemData":{"id":54,"type":"report","title":"Pharma Emerging Markets 2.0","publisher":"Booz &amp; Company","author":[{"family":"Booz &amp; Company","given":""}],"issued":{"date-parts":[["2014"]]}},"locator":"12\\"}],"schema":"https://github.com/citation-style-language/schema/raw/master/csl-citation.json"} </w:instrText>
      </w:r>
      <w:r>
        <w:fldChar w:fldCharType="separate"/>
      </w:r>
      <w:r w:rsidRPr="00A01AC7">
        <w:rPr>
          <w:rFonts w:ascii="Segoe UI" w:hAnsi="Segoe UI" w:cs="Segoe UI"/>
          <w:szCs w:val="24"/>
        </w:rPr>
        <w:t xml:space="preserve">Booz &amp; Company, </w:t>
      </w:r>
      <w:r w:rsidRPr="00A01AC7">
        <w:rPr>
          <w:rFonts w:ascii="Segoe UI" w:hAnsi="Segoe UI" w:cs="Segoe UI"/>
          <w:i/>
          <w:iCs/>
          <w:szCs w:val="24"/>
        </w:rPr>
        <w:t>Pharma Emerging Markets 2.0</w:t>
      </w:r>
      <w:r w:rsidRPr="00A01AC7">
        <w:rPr>
          <w:rFonts w:ascii="Segoe UI" w:hAnsi="Segoe UI" w:cs="Segoe UI"/>
          <w:szCs w:val="24"/>
        </w:rPr>
        <w:t>, 12\.</w:t>
      </w:r>
      <w:r>
        <w:fldChar w:fldCharType="end"/>
      </w:r>
    </w:p>
  </w:footnote>
  <w:footnote w:id="9">
    <w:p w14:paraId="6318CA9A" w14:textId="77777777" w:rsidR="006E36FB" w:rsidRDefault="006E36FB" w:rsidP="00DF53A6">
      <w:pPr>
        <w:pStyle w:val="FootnoteText"/>
        <w:spacing w:before="0" w:after="0"/>
      </w:pPr>
      <w:r>
        <w:rPr>
          <w:rStyle w:val="FootnoteReference"/>
        </w:rPr>
        <w:footnoteRef/>
      </w:r>
      <w:r>
        <w:t xml:space="preserve"> </w:t>
      </w:r>
      <w:r>
        <w:fldChar w:fldCharType="begin"/>
      </w:r>
      <w:r>
        <w:instrText xml:space="preserve"> ADDIN ZOTERO_ITEM CSL_CITATION {"citationID":"WYSpiTVz","properties":{"formattedCitation":"{\\rtf KPMG, \\i Future Pharma. Five Strategies to Accelerate the Transformation of the Pharmaceutical Industry by 2020\\i0{}.}","plainCitation":"KPMG, Future Pharma. Five Strategies to Accelerate the Transformation of the Pharmaceutical Industry by 2020."},"citationItems":[{"id":11,"uris":["http://zotero.org/groups/284232/items/428MJD5E"],"uri":["http://zotero.org/groups/284232/items/428MJD5E"],"itemData":{"id":11,"type":"report","title":"Future Pharma. Five Strategies to Accelerate the Transformation of the Pharmaceutical Industry by 2020","publisher":"KPMG","author":[{"family":"KPMG","given":""}],"issued":{"date-parts":[["2011"]]}}}],"schema":"https://github.com/citation-style-language/schema/raw/master/csl-citation.json"} </w:instrText>
      </w:r>
      <w:r>
        <w:fldChar w:fldCharType="separate"/>
      </w:r>
      <w:r w:rsidRPr="00EF2CA3">
        <w:rPr>
          <w:rFonts w:ascii="Segoe UI" w:hAnsi="Segoe UI" w:cs="Segoe UI"/>
          <w:szCs w:val="24"/>
        </w:rPr>
        <w:t xml:space="preserve">KPMG, </w:t>
      </w:r>
      <w:r w:rsidRPr="00EF2CA3">
        <w:rPr>
          <w:rFonts w:ascii="Segoe UI" w:hAnsi="Segoe UI" w:cs="Segoe UI"/>
          <w:i/>
          <w:iCs/>
          <w:szCs w:val="24"/>
        </w:rPr>
        <w:t>Future Pharma. Five Strategies to Accelerate the Transformation of the Pharmaceutical Industry by 2020</w:t>
      </w:r>
      <w:r w:rsidRPr="00EF2CA3">
        <w:rPr>
          <w:rFonts w:ascii="Segoe UI" w:hAnsi="Segoe UI" w:cs="Segoe UI"/>
          <w:szCs w:val="24"/>
        </w:rPr>
        <w:t>.</w:t>
      </w:r>
      <w:r>
        <w:fldChar w:fldCharType="end"/>
      </w:r>
    </w:p>
  </w:footnote>
  <w:footnote w:id="10">
    <w:p w14:paraId="49216A62" w14:textId="77777777" w:rsidR="006E36FB" w:rsidRPr="008A30A1" w:rsidRDefault="006E36FB" w:rsidP="00DF53A6">
      <w:pPr>
        <w:pStyle w:val="FootnoteText"/>
        <w:spacing w:before="0" w:after="0"/>
      </w:pPr>
      <w:r w:rsidRPr="008A30A1">
        <w:rPr>
          <w:rStyle w:val="FootnoteReference"/>
        </w:rPr>
        <w:footnoteRef/>
      </w:r>
      <w:r w:rsidRPr="008A30A1">
        <w:t xml:space="preserve"> </w:t>
      </w:r>
      <w:r w:rsidRPr="008A30A1">
        <w:fldChar w:fldCharType="begin"/>
      </w:r>
      <w:r>
        <w:instrText xml:space="preserve"> ADDIN ZOTERO_ITEM CSL_CITATION {"citationID":"pGLq4FKm","properties":{"formattedCitation":"National Center for Advancing Translation Sciences, \"Therapeutic Decelopment Process\".","plainCitation":"National Center for Advancing Translation Sciences, \"Therapeutic Decelopment Process\"."},"citationItems":[{"id":30,"uris":["http://zotero.org/users/2041999/items/SR72MCT6"],"uri":["http://zotero.org/users/2041999/items/SR72MCT6"],"itemData":{"id":30,"type":"article","title":"Therapeutic Decelopment Process","URL":"http://www.ncats.nih.gov/research/reengineering/process.html","author":[{"family":"National Center for Advancing Translation Sciences","given":""}],"accessed":{"date-parts":[["2014",9,5]]}}}],"schema":"https://github.com/citation-style-language/schema/raw/master/csl-citation.json"} </w:instrText>
      </w:r>
      <w:r w:rsidRPr="008A30A1">
        <w:fldChar w:fldCharType="separate"/>
      </w:r>
      <w:r w:rsidRPr="00AB2518">
        <w:rPr>
          <w:rFonts w:ascii="Segoe UI" w:hAnsi="Segoe UI" w:cs="Segoe UI"/>
        </w:rPr>
        <w:t>National Center for Advancing Translation Sciences, "Therapeutic Decelopment Process".</w:t>
      </w:r>
      <w:r w:rsidRPr="008A30A1">
        <w:fldChar w:fldCharType="end"/>
      </w:r>
    </w:p>
  </w:footnote>
  <w:footnote w:id="11">
    <w:p w14:paraId="21FB15C8" w14:textId="77777777" w:rsidR="006E36FB" w:rsidRDefault="006E36FB" w:rsidP="00DF53A6">
      <w:pPr>
        <w:pStyle w:val="FootnoteText"/>
        <w:spacing w:before="0" w:after="0"/>
      </w:pPr>
      <w:r>
        <w:rPr>
          <w:rStyle w:val="FootnoteReference"/>
        </w:rPr>
        <w:footnoteRef/>
      </w:r>
      <w:r>
        <w:t xml:space="preserve"> </w:t>
      </w:r>
      <w:r>
        <w:fldChar w:fldCharType="begin"/>
      </w:r>
      <w:r>
        <w:instrText xml:space="preserve"> ADDIN ZOTERO_ITEM CSL_CITATION {"citationID":"NTvrnfhS","properties":{"formattedCitation":"{\\rtf Pharmaceutical Research un Manufacturers of America, \\i 2014 Biopharmaceutical Research Industry Profile\\i0{}.}","plainCitation":"Pharmaceutical Research un Manufacturers of America, 2014 Biopharmaceutical Research Industry Profile."},"citationItems":[{"id":16,"uris":["http://zotero.org/groups/284232/items/57GR4TDC"],"uri":["http://zotero.org/groups/284232/items/57GR4TDC"],"itemData":{"id":16,"type":"report","title":"2014 Biopharmaceutical Research Industry Profile","publisher":"Pharmaceutical Research and Manufacturers of America","author":[{"family":"Pharmaceutical Research","given":""},{"family":"Manufacturers of America","given":""}],"issued":{"date-parts":[["2014"]]}}}],"schema":"https://github.com/citation-style-language/schema/raw/master/csl-citation.json"} </w:instrText>
      </w:r>
      <w:r>
        <w:fldChar w:fldCharType="separate"/>
      </w:r>
      <w:r w:rsidRPr="00AB2518">
        <w:rPr>
          <w:rFonts w:ascii="Segoe UI" w:hAnsi="Segoe UI" w:cs="Segoe UI"/>
          <w:szCs w:val="24"/>
        </w:rPr>
        <w:t xml:space="preserve">Pharmaceutical Research un Manufacturers of America, </w:t>
      </w:r>
      <w:r w:rsidRPr="00AB2518">
        <w:rPr>
          <w:rFonts w:ascii="Segoe UI" w:hAnsi="Segoe UI" w:cs="Segoe UI"/>
          <w:i/>
          <w:iCs/>
          <w:szCs w:val="24"/>
        </w:rPr>
        <w:t>2014 Biopharmaceutical Research Industry Profile</w:t>
      </w:r>
      <w:r w:rsidRPr="00AB2518">
        <w:rPr>
          <w:rFonts w:ascii="Segoe UI" w:hAnsi="Segoe UI" w:cs="Segoe UI"/>
          <w:szCs w:val="24"/>
        </w:rPr>
        <w:t>.</w:t>
      </w:r>
      <w:r>
        <w:fldChar w:fldCharType="end"/>
      </w:r>
    </w:p>
  </w:footnote>
  <w:footnote w:id="12">
    <w:p w14:paraId="387F6DE0" w14:textId="77777777" w:rsidR="006E36FB" w:rsidRDefault="006E36FB" w:rsidP="00DF53A6">
      <w:pPr>
        <w:pStyle w:val="FootnoteText"/>
        <w:spacing w:before="0" w:after="0"/>
      </w:pPr>
      <w:r>
        <w:rPr>
          <w:rStyle w:val="FootnoteReference"/>
        </w:rPr>
        <w:footnoteRef/>
      </w:r>
      <w:r>
        <w:t xml:space="preserve"> </w:t>
      </w:r>
      <w:r>
        <w:fldChar w:fldCharType="begin"/>
      </w:r>
      <w:r>
        <w:instrText xml:space="preserve"> ADDIN ZOTERO_ITEM CSL_CITATION {"citationID":"P7SxWNwb","properties":{"formattedCitation":"{\\rtf Booz &amp; Company, \\i Pharma Emerging Markets 2.0\\i0{}.}","plainCitation":"Booz &amp; Company, Pharma Emerging Markets 2.0."},"citationItems":[{"id":54,"uris":["http://zotero.org/groups/284232/items/JTK64D58"],"uri":["http://zotero.org/groups/284232/items/JTK64D58"],"itemData":{"id":54,"type":"report","title":"Pharma Emerging Markets 2.0","publisher":"Booz &amp; Company","author":[{"family":"Booz &amp; Company","given":""}],"issued":{"date-parts":[["2014"]]}}}],"schema":"https://github.com/citation-style-language/schema/raw/master/csl-citation.json"} </w:instrText>
      </w:r>
      <w:r>
        <w:fldChar w:fldCharType="separate"/>
      </w:r>
      <w:r w:rsidRPr="00EF2CA3">
        <w:rPr>
          <w:rFonts w:ascii="Segoe UI" w:hAnsi="Segoe UI" w:cs="Segoe UI"/>
          <w:szCs w:val="24"/>
        </w:rPr>
        <w:t xml:space="preserve">Booz &amp; Company, </w:t>
      </w:r>
      <w:r w:rsidRPr="00EF2CA3">
        <w:rPr>
          <w:rFonts w:ascii="Segoe UI" w:hAnsi="Segoe UI" w:cs="Segoe UI"/>
          <w:i/>
          <w:iCs/>
          <w:szCs w:val="24"/>
        </w:rPr>
        <w:t>Pharma Emerging Markets 2.0</w:t>
      </w:r>
      <w:r w:rsidRPr="00EF2CA3">
        <w:rPr>
          <w:rFonts w:ascii="Segoe UI" w:hAnsi="Segoe UI" w:cs="Segoe UI"/>
          <w:szCs w:val="24"/>
        </w:rPr>
        <w:t>.</w:t>
      </w:r>
      <w:r>
        <w:fldChar w:fldCharType="end"/>
      </w:r>
    </w:p>
  </w:footnote>
  <w:footnote w:id="13">
    <w:p w14:paraId="0BA70A83" w14:textId="77777777" w:rsidR="006E36FB" w:rsidRDefault="006E36FB" w:rsidP="00DF53A6">
      <w:pPr>
        <w:pStyle w:val="FootnoteText"/>
        <w:spacing w:before="0" w:after="0"/>
      </w:pPr>
      <w:r>
        <w:rPr>
          <w:rStyle w:val="FootnoteReference"/>
        </w:rPr>
        <w:footnoteRef/>
      </w:r>
      <w:r>
        <w:t xml:space="preserve"> Drug repurposing</w:t>
      </w:r>
    </w:p>
  </w:footnote>
  <w:footnote w:id="14">
    <w:p w14:paraId="224AF8CB" w14:textId="77777777" w:rsidR="006E36FB" w:rsidDel="005C5312" w:rsidRDefault="006E36FB" w:rsidP="00DF53A6">
      <w:pPr>
        <w:pStyle w:val="FootnoteText"/>
        <w:spacing w:before="0" w:after="0"/>
      </w:pPr>
      <w:r>
        <w:rPr>
          <w:rStyle w:val="FootnoteReference"/>
        </w:rPr>
        <w:footnoteRef/>
      </w:r>
      <w:r>
        <w:t xml:space="preserve"> </w:t>
      </w:r>
      <w:r>
        <w:fldChar w:fldCharType="begin"/>
      </w:r>
      <w:r>
        <w:instrText xml:space="preserve"> ADDIN ZOTERO_ITEM CSL_CITATION {"citationID":"aIra7sZp","properties":{"formattedCitation":"{\\rtf Secara un Sasu, \\i The impact of globalization in the industry of cosmetics\\i0{}.}","plainCitation":"Secara un Sasu, The impact of globalization in the industry of cosmetics."},"citationItems":[{"id":60,"uris":["http://zotero.org/groups/284232/items/KUFJBS9G"],"uri":["http://zotero.org/groups/284232/items/KUFJBS9G"],"itemData":{"id":60,"type":"report","title":"The impact of globalization in the industry of cosmetics","publisher":"University of Ordea","page":"10","author":[{"family":"Secara","given":"Maria Oana"},{"family":"Sasu","given":"Dinu vlad"}]}}],"schema":"https://github.com/citation-style-language/schema/raw/master/csl-citation.json"} </w:instrText>
      </w:r>
      <w:r>
        <w:fldChar w:fldCharType="separate"/>
      </w:r>
      <w:r w:rsidRPr="00AB2518">
        <w:rPr>
          <w:rFonts w:ascii="Segoe UI" w:hAnsi="Segoe UI" w:cs="Segoe UI"/>
          <w:szCs w:val="24"/>
        </w:rPr>
        <w:t xml:space="preserve">Secara un Sasu, </w:t>
      </w:r>
      <w:r w:rsidRPr="00AB2518">
        <w:rPr>
          <w:rFonts w:ascii="Segoe UI" w:hAnsi="Segoe UI" w:cs="Segoe UI"/>
          <w:i/>
          <w:iCs/>
          <w:szCs w:val="24"/>
        </w:rPr>
        <w:t>The impact of globalization in the industry of cosmetics</w:t>
      </w:r>
      <w:r w:rsidRPr="00AB2518">
        <w:rPr>
          <w:rFonts w:ascii="Segoe UI" w:hAnsi="Segoe UI" w:cs="Segoe UI"/>
          <w:szCs w:val="24"/>
        </w:rPr>
        <w:t>.</w:t>
      </w:r>
      <w:r>
        <w:fldChar w:fldCharType="end"/>
      </w:r>
    </w:p>
  </w:footnote>
  <w:footnote w:id="15">
    <w:p w14:paraId="313735E0" w14:textId="77777777" w:rsidR="006E36FB" w:rsidRDefault="006E36FB" w:rsidP="00DF53A6">
      <w:pPr>
        <w:pStyle w:val="FootnoteText"/>
        <w:spacing w:before="0" w:after="0"/>
      </w:pPr>
      <w:r>
        <w:rPr>
          <w:rStyle w:val="FootnoteReference"/>
        </w:rPr>
        <w:footnoteRef/>
      </w:r>
      <w:r>
        <w:t xml:space="preserve"> </w:t>
      </w:r>
      <w:r w:rsidRPr="00444F84">
        <w:t>Compound Annual Growth Rate</w:t>
      </w:r>
    </w:p>
  </w:footnote>
  <w:footnote w:id="16">
    <w:p w14:paraId="2E1A99B5" w14:textId="77777777" w:rsidR="006E36FB" w:rsidRDefault="006E36FB" w:rsidP="00DF53A6">
      <w:pPr>
        <w:pStyle w:val="FootnoteText"/>
        <w:spacing w:before="0" w:after="0"/>
      </w:pPr>
      <w:r>
        <w:rPr>
          <w:rStyle w:val="FootnoteReference"/>
        </w:rPr>
        <w:footnoteRef/>
      </w:r>
      <w:r>
        <w:t xml:space="preserve"> </w:t>
      </w:r>
      <w:r>
        <w:fldChar w:fldCharType="begin"/>
      </w:r>
      <w:r>
        <w:instrText xml:space="preserve"> ADDIN ZOTERO_ITEM CSL_CITATION {"citationID":"AT9BqzSI","properties":{"formattedCitation":"\"U.S. retail e-commerce sales category CAGR 2012-2017 | Forecast\".","plainCitation":"\"U.S. retail e-commerce sales category CAGR 2012-2017 | Forecast\"."},"citationItems":[{"id":92,"uris":["http://zotero.org/groups/284232/items/X98U653K"],"uri":["http://zotero.org/groups/284232/items/X98U653K"],"itemData":{"id":92,"type":"webpage","title":"U.S. retail e-commerce sales category CAGR 2012-2017 | Forecast","container-title":"Statista","abstract":"This statistic shows the U.S. retail e-commerce sales compound annual growth rate from 2012 to 2017, by category. During this period of time, the CAGR for online revenues of apparel and accessories sales is expected amount to 17.2 percent.","URL":"http://www.statista.com/statistics/257516/us-retail-e-commerce-sales-cagr-by-product-category/","accessed":{"date-parts":[["2014",9,25]]}}}],"schema":"https://github.com/citation-style-language/schema/raw/master/csl-citation.json"} </w:instrText>
      </w:r>
      <w:r>
        <w:fldChar w:fldCharType="separate"/>
      </w:r>
      <w:r w:rsidRPr="00AB2518">
        <w:rPr>
          <w:rFonts w:ascii="Segoe UI" w:hAnsi="Segoe UI" w:cs="Segoe UI"/>
        </w:rPr>
        <w:t>"U.S. retail e-commerce sales category CAGR 2012-2017 | Forecast".</w:t>
      </w:r>
      <w:r>
        <w:fldChar w:fldCharType="end"/>
      </w:r>
    </w:p>
  </w:footnote>
  <w:footnote w:id="17">
    <w:p w14:paraId="4D878B98" w14:textId="77777777" w:rsidR="006E36FB" w:rsidRDefault="006E36FB" w:rsidP="00DF53A6">
      <w:pPr>
        <w:pStyle w:val="FootnoteText"/>
        <w:spacing w:before="0" w:after="0"/>
      </w:pPr>
      <w:r>
        <w:rPr>
          <w:rStyle w:val="FootnoteReference"/>
        </w:rPr>
        <w:footnoteRef/>
      </w:r>
      <w:r>
        <w:t xml:space="preserve"> </w:t>
      </w:r>
      <w:r>
        <w:fldChar w:fldCharType="begin"/>
      </w:r>
      <w:r>
        <w:instrText xml:space="preserve"> ADDIN ZOTERO_ITEM CSL_CITATION {"citationID":"xaJCxqEK","properties":{"formattedCitation":"{\\rtf \"Cosmetics Industry \\uc0\\u8211{} Drivers\".}","plainCitation":"\"Cosmetics Industry – Drivers\"."},"citationItems":[{"id":8,"uris":["http://zotero.org/groups/284232/items/39PXGPU5"],"uri":["http://zotero.org/groups/284232/items/39PXGPU5"],"itemData":{"id":8,"type":"webpage","title":"Cosmetics Industry – Drivers","URL":"http://www.bidnessetc.com/subindustry/cosmetic/drivers/","accessed":{"date-parts":[["2014",9,25]]}}}],"schema":"https://github.com/citation-style-language/schema/raw/master/csl-citation.json"} </w:instrText>
      </w:r>
      <w:r>
        <w:fldChar w:fldCharType="separate"/>
      </w:r>
      <w:r w:rsidRPr="00AB2518">
        <w:rPr>
          <w:rFonts w:ascii="Segoe UI" w:hAnsi="Segoe UI" w:cs="Segoe UI"/>
          <w:szCs w:val="24"/>
        </w:rPr>
        <w:t>"Cosmetics Industry – Drivers".</w:t>
      </w:r>
      <w:r>
        <w:fldChar w:fldCharType="end"/>
      </w:r>
    </w:p>
  </w:footnote>
  <w:footnote w:id="18">
    <w:p w14:paraId="64033410" w14:textId="77777777" w:rsidR="006E36FB" w:rsidRDefault="006E36FB" w:rsidP="00DF53A6">
      <w:pPr>
        <w:pStyle w:val="FootnoteText"/>
        <w:spacing w:before="0" w:after="0"/>
      </w:pPr>
      <w:r>
        <w:rPr>
          <w:rStyle w:val="FootnoteReference"/>
        </w:rPr>
        <w:footnoteRef/>
      </w:r>
      <w:r>
        <w:t xml:space="preserve"> </w:t>
      </w:r>
      <w:r w:rsidRPr="004E3CEB">
        <w:t>http://www.lorealparisusa.com/en/brands/makeup/makeup-genius-virtual-makeup-tool.aspx</w:t>
      </w:r>
    </w:p>
  </w:footnote>
  <w:footnote w:id="19">
    <w:p w14:paraId="69F12E97" w14:textId="77777777" w:rsidR="006E36FB" w:rsidRDefault="006E36FB" w:rsidP="00DF53A6">
      <w:pPr>
        <w:pStyle w:val="FootnoteText"/>
        <w:spacing w:before="0" w:after="0"/>
      </w:pPr>
      <w:r>
        <w:rPr>
          <w:rStyle w:val="FootnoteReference"/>
        </w:rPr>
        <w:footnoteRef/>
      </w:r>
      <w:r>
        <w:t xml:space="preserve"> </w:t>
      </w:r>
      <w:r>
        <w:fldChar w:fldCharType="begin"/>
      </w:r>
      <w:r>
        <w:instrText xml:space="preserve"> ADDIN ZOTERO_ITEM CSL_CITATION {"citationID":"yfqdc4do","properties":{"formattedCitation":"{\\rtf Company, \\i McKinsey on Chemicals\\i0{}, 25.}","plainCitation":"Company, McKinsey on Chemicals, 25."},"citationItems":[{"id":"VMs8UJ28/EiJvdCuG","uris":["http://zotero.org/users/2041999/items/JT4TPUR9"],"uri":["http://zotero.org/users/2041999/items/JT4TPUR9"],"itemData":{"id":"VMs8UJ28/EiJvdCuG","type":"report","title":"McKinsey on Chemicals","author":[{"family":"Company","given":"McKinsey &amp;"}],"issued":{"year":2012}},"locator":"25"}],"schema":"https://github.com/citation-style-language/schema/raw/master/csl-citation.json"} </w:instrText>
      </w:r>
      <w:r>
        <w:fldChar w:fldCharType="separate"/>
      </w:r>
      <w:r w:rsidRPr="00A01AC7">
        <w:rPr>
          <w:rFonts w:ascii="Segoe UI" w:hAnsi="Segoe UI" w:cs="Segoe UI"/>
          <w:szCs w:val="24"/>
        </w:rPr>
        <w:t xml:space="preserve">Company, </w:t>
      </w:r>
      <w:r w:rsidRPr="00A01AC7">
        <w:rPr>
          <w:rFonts w:ascii="Segoe UI" w:hAnsi="Segoe UI" w:cs="Segoe UI"/>
          <w:i/>
          <w:iCs/>
          <w:szCs w:val="24"/>
        </w:rPr>
        <w:t>McKinsey on Chemicals</w:t>
      </w:r>
      <w:r w:rsidRPr="00A01AC7">
        <w:rPr>
          <w:rFonts w:ascii="Segoe UI" w:hAnsi="Segoe UI" w:cs="Segoe UI"/>
          <w:szCs w:val="24"/>
        </w:rPr>
        <w:t>, 25.</w:t>
      </w:r>
      <w:r>
        <w:fldChar w:fldCharType="end"/>
      </w:r>
    </w:p>
  </w:footnote>
  <w:footnote w:id="20">
    <w:p w14:paraId="64953C75" w14:textId="77777777" w:rsidR="006E36FB" w:rsidRDefault="006E36FB" w:rsidP="00DF53A6">
      <w:pPr>
        <w:pStyle w:val="FootnoteText"/>
        <w:spacing w:before="0" w:after="0"/>
      </w:pPr>
      <w:r>
        <w:rPr>
          <w:rStyle w:val="FootnoteReference"/>
        </w:rPr>
        <w:footnoteRef/>
      </w:r>
      <w:r>
        <w:t xml:space="preserve"> </w:t>
      </w:r>
      <w:r>
        <w:fldChar w:fldCharType="begin"/>
      </w:r>
      <w:r>
        <w:instrText xml:space="preserve"> ADDIN ZOTERO_ITEM CSL_CITATION {"citationID":"vLFy2QGx","properties":{"formattedCitation":"{\\rtf McKinsey &amp; Company, \\i McKinsey on Chemicals\\i0{}, 25.}","plainCitation":"McKinsey &amp; Company, McKinsey on Chemicals, 25."},"citationItems":[{"id":47,"uris":["http://zotero.org/groups/284232/items/GABRK3J5"],"uri":["http://zotero.org/groups/284232/items/GABRK3J5"],"itemData":{"id":47,"type":"report","title":"McKinsey on Chemicals","author":[{"family":"McKinsey &amp; Company","given":""}],"issued":{"date-parts":[["2012"]]}},"locator":"25"}],"schema":"https://github.com/citation-style-language/schema/raw/master/csl-citation.json"} </w:instrText>
      </w:r>
      <w:r>
        <w:fldChar w:fldCharType="separate"/>
      </w:r>
      <w:r w:rsidRPr="00A01AC7">
        <w:rPr>
          <w:rFonts w:ascii="Segoe UI" w:hAnsi="Segoe UI" w:cs="Segoe UI"/>
          <w:szCs w:val="24"/>
        </w:rPr>
        <w:t xml:space="preserve">McKinsey &amp; Company, </w:t>
      </w:r>
      <w:r w:rsidRPr="00A01AC7">
        <w:rPr>
          <w:rFonts w:ascii="Segoe UI" w:hAnsi="Segoe UI" w:cs="Segoe UI"/>
          <w:i/>
          <w:iCs/>
          <w:szCs w:val="24"/>
        </w:rPr>
        <w:t>McKinsey on Chemicals</w:t>
      </w:r>
      <w:r w:rsidRPr="00A01AC7">
        <w:rPr>
          <w:rFonts w:ascii="Segoe UI" w:hAnsi="Segoe UI" w:cs="Segoe UI"/>
          <w:szCs w:val="24"/>
        </w:rPr>
        <w:t>, 25.</w:t>
      </w:r>
      <w:r>
        <w:fldChar w:fldCharType="end"/>
      </w:r>
    </w:p>
  </w:footnote>
  <w:footnote w:id="21">
    <w:p w14:paraId="4C3D3A08" w14:textId="6DAF117A" w:rsidR="006E36FB" w:rsidRDefault="006E36FB" w:rsidP="00DF53A6">
      <w:pPr>
        <w:pStyle w:val="FootnoteText"/>
        <w:spacing w:before="0" w:after="0"/>
      </w:pPr>
      <w:r>
        <w:rPr>
          <w:rStyle w:val="FootnoteReference"/>
        </w:rPr>
        <w:footnoteRef/>
      </w:r>
      <w:r>
        <w:t xml:space="preserve"> Diferencētās izejvielas (</w:t>
      </w:r>
      <w:r w:rsidRPr="00AB2518">
        <w:rPr>
          <w:i/>
        </w:rPr>
        <w:t>differentiated commodities</w:t>
      </w:r>
      <w:r>
        <w:t>) ir specializētu izejvielu niša, kurā cena uz vienu svara vienību un peļņas norma uz vienu svara vienību ir vismaz divas reizes lielāka nekā citām tās pašas klases izejvielām. Parasti tie ir inovatīvi, speciāli šaurai klientu nišai vai izmantojumam pielāgoti produkti.</w:t>
      </w:r>
    </w:p>
  </w:footnote>
  <w:footnote w:id="22">
    <w:p w14:paraId="63E82377" w14:textId="77777777" w:rsidR="006E36FB" w:rsidRDefault="006E36FB" w:rsidP="00DF53A6">
      <w:pPr>
        <w:pStyle w:val="FootnoteText"/>
        <w:spacing w:before="0" w:after="0"/>
      </w:pPr>
      <w:r>
        <w:rPr>
          <w:rStyle w:val="FootnoteReference"/>
        </w:rPr>
        <w:footnoteRef/>
      </w:r>
      <w:r>
        <w:t xml:space="preserve"> </w:t>
      </w:r>
      <w:r>
        <w:fldChar w:fldCharType="begin"/>
      </w:r>
      <w:r>
        <w:instrText xml:space="preserve"> ADDIN ZOTERO_ITEM CSL_CITATION {"citationID":"Tf99JbEQ","properties":{"formattedCitation":"{\\rtf Arnie Lowenstein un Garan Geist, \\i Managing Differentiated Commodities\\i0{}.}","plainCitation":"Arnie Lowenstein un Garan Geist, Managing Differentiated Commodities."},"citationItems":[{"id":45,"uris":["http://zotero.org/groups/284232/items/FV9ESGXP"],"uri":["http://zotero.org/groups/284232/items/FV9ESGXP"],"itemData":{"id":45,"type":"report","title":"Managing Differentiated Commodities","publisher":"Marakon","genre":"Commentary","author":[{"family":"Arnie Lowenstein","given":""},{"family":"Garan Geist","given":""}],"issued":{"date-parts":[["2013",10]]}}}],"schema":"https://github.com/citation-style-language/schema/raw/master/csl-citation.json"} </w:instrText>
      </w:r>
      <w:r>
        <w:fldChar w:fldCharType="separate"/>
      </w:r>
      <w:r w:rsidRPr="00AB2518">
        <w:rPr>
          <w:rFonts w:ascii="Segoe UI" w:hAnsi="Segoe UI" w:cs="Segoe UI"/>
          <w:szCs w:val="24"/>
        </w:rPr>
        <w:t xml:space="preserve">Arnie Lowenstein un Garan Geist, </w:t>
      </w:r>
      <w:r w:rsidRPr="00AB2518">
        <w:rPr>
          <w:rFonts w:ascii="Segoe UI" w:hAnsi="Segoe UI" w:cs="Segoe UI"/>
          <w:i/>
          <w:iCs/>
          <w:szCs w:val="24"/>
        </w:rPr>
        <w:t>Managing Differentiated Commodities</w:t>
      </w:r>
      <w:r w:rsidRPr="00AB2518">
        <w:rPr>
          <w:rFonts w:ascii="Segoe UI" w:hAnsi="Segoe UI" w:cs="Segoe UI"/>
          <w:szCs w:val="24"/>
        </w:rPr>
        <w:t>.</w:t>
      </w:r>
      <w:r>
        <w:fldChar w:fldCharType="end"/>
      </w:r>
    </w:p>
  </w:footnote>
  <w:footnote w:id="23">
    <w:p w14:paraId="3E5A7750" w14:textId="0F131C6D" w:rsidR="006E36FB" w:rsidRPr="00425983" w:rsidRDefault="006E36FB" w:rsidP="00425983">
      <w:pPr>
        <w:spacing w:before="0"/>
        <w:rPr>
          <w:sz w:val="16"/>
          <w:szCs w:val="16"/>
        </w:rPr>
      </w:pPr>
      <w:r w:rsidRPr="00425983">
        <w:rPr>
          <w:rStyle w:val="FootnoteReference"/>
          <w:sz w:val="16"/>
          <w:szCs w:val="16"/>
        </w:rPr>
        <w:footnoteRef/>
      </w:r>
      <w:r w:rsidRPr="00425983">
        <w:rPr>
          <w:sz w:val="16"/>
          <w:szCs w:val="16"/>
        </w:rPr>
        <w:t xml:space="preserve"> Dalījumam nozarēs un apgrozījuma analīzei izmantota pieejamā statistikas informācija par nozares ražošanas apjomu NACE kodu dalījumā. </w:t>
      </w:r>
    </w:p>
  </w:footnote>
  <w:footnote w:id="24">
    <w:p w14:paraId="1CD4B0D3" w14:textId="77777777" w:rsidR="006E36FB" w:rsidRDefault="006E36FB" w:rsidP="00425983">
      <w:pPr>
        <w:pStyle w:val="FootnoteText"/>
        <w:spacing w:before="0"/>
      </w:pPr>
      <w:r w:rsidRPr="00425983">
        <w:rPr>
          <w:rStyle w:val="FootnoteReference"/>
          <w:szCs w:val="16"/>
        </w:rPr>
        <w:footnoteRef/>
      </w:r>
      <w:r w:rsidRPr="00425983">
        <w:rPr>
          <w:szCs w:val="16"/>
        </w:rPr>
        <w:t xml:space="preserve"> Dažos gadījumos informācija par medicīniskām ierīcēm netiek sniegta, jo CSP datubāzē ir pieejama tikai konsolidēta statistika kopā zobārstniecības piederumu rādītājiem, kas veido šīs kategorijas vairākumu. Tāpēc šādos gadījumos citu medicīnisko ierīču tirgus tendences var būt līdzīgas farmācijas nozarei.</w:t>
      </w:r>
    </w:p>
  </w:footnote>
  <w:footnote w:id="25">
    <w:p w14:paraId="26905E3A" w14:textId="77777777" w:rsidR="006E36FB" w:rsidRDefault="006E36FB" w:rsidP="00425983">
      <w:pPr>
        <w:pStyle w:val="FootnoteText"/>
        <w:spacing w:before="0" w:after="0"/>
      </w:pPr>
      <w:r>
        <w:rPr>
          <w:rStyle w:val="FootnoteReference"/>
        </w:rPr>
        <w:footnoteRef/>
      </w:r>
      <w:r>
        <w:t xml:space="preserve"> NACE 20.42</w:t>
      </w:r>
    </w:p>
  </w:footnote>
  <w:footnote w:id="26">
    <w:p w14:paraId="0B7BAD2B" w14:textId="2963FAF7" w:rsidR="006E36FB" w:rsidRDefault="006E36FB" w:rsidP="00425983">
      <w:pPr>
        <w:pStyle w:val="FootnoteText"/>
        <w:spacing w:before="0" w:after="0"/>
      </w:pPr>
      <w:r>
        <w:rPr>
          <w:rStyle w:val="FootnoteReference"/>
        </w:rPr>
        <w:footnoteRef/>
      </w:r>
      <w:r>
        <w:t xml:space="preserve"> NACE 20.41</w:t>
      </w:r>
    </w:p>
  </w:footnote>
  <w:footnote w:id="27">
    <w:p w14:paraId="621F0666" w14:textId="77777777" w:rsidR="006E36FB" w:rsidRDefault="006E36FB" w:rsidP="00042BF6">
      <w:pPr>
        <w:pStyle w:val="FootnoteText"/>
      </w:pPr>
      <w:r>
        <w:rPr>
          <w:rStyle w:val="FootnoteReference"/>
        </w:rPr>
        <w:footnoteRef/>
      </w:r>
      <w:r>
        <w:t xml:space="preserve"> Dati par </w:t>
      </w:r>
      <w:r w:rsidRPr="0051508A">
        <w:t xml:space="preserve">Medicīnas un zobārstniecības instrumentu un piederumu </w:t>
      </w:r>
      <w:r>
        <w:t>nozari atspoguļo galvenokārt situāciju zobārstniecības nozarē, kura ir atšķirīga no citu medicīnisko ierīču ražošanas. Tā situācija ir līdzīga farmācijai.</w:t>
      </w:r>
    </w:p>
  </w:footnote>
  <w:footnote w:id="28">
    <w:p w14:paraId="5D8D4634" w14:textId="77777777" w:rsidR="006E36FB" w:rsidRDefault="006E36FB" w:rsidP="006833EB">
      <w:pPr>
        <w:pStyle w:val="FootnoteText"/>
        <w:spacing w:after="0"/>
      </w:pPr>
      <w:r>
        <w:rPr>
          <w:rStyle w:val="FootnoteReference"/>
        </w:rPr>
        <w:footnoteRef/>
      </w:r>
      <w:r>
        <w:t xml:space="preserve"> </w:t>
      </w:r>
      <w:r w:rsidRPr="002949D0">
        <w:rPr>
          <w:rStyle w:val="Emphasis"/>
        </w:rPr>
        <w:t>Good Management Practices</w:t>
      </w:r>
    </w:p>
  </w:footnote>
  <w:footnote w:id="29">
    <w:p w14:paraId="0FCB33A0" w14:textId="77777777" w:rsidR="006E36FB" w:rsidRDefault="006E36FB" w:rsidP="006833EB">
      <w:pPr>
        <w:pStyle w:val="FootnoteText"/>
        <w:spacing w:after="0"/>
      </w:pPr>
      <w:r>
        <w:rPr>
          <w:rStyle w:val="FootnoteReference"/>
        </w:rPr>
        <w:footnoteRef/>
      </w:r>
      <w:r>
        <w:t xml:space="preserve"> Avots: Latvijas Ķīmijas un farmācijas uzņēmumu asociācija</w:t>
      </w:r>
    </w:p>
  </w:footnote>
  <w:footnote w:id="30">
    <w:p w14:paraId="4F8C51F9" w14:textId="77777777" w:rsidR="006E36FB" w:rsidRDefault="006E36FB" w:rsidP="006833EB">
      <w:pPr>
        <w:pStyle w:val="FootnoteText"/>
        <w:spacing w:before="0"/>
      </w:pPr>
      <w:r>
        <w:rPr>
          <w:rStyle w:val="FootnoteReference"/>
        </w:rPr>
        <w:footnoteRef/>
      </w:r>
      <w:r>
        <w:t xml:space="preserve"> CAGR 2009.-2014. gados</w:t>
      </w:r>
    </w:p>
  </w:footnote>
  <w:footnote w:id="31">
    <w:p w14:paraId="5531A049" w14:textId="77777777" w:rsidR="006E36FB" w:rsidRDefault="006E36FB" w:rsidP="00872550">
      <w:pPr>
        <w:pStyle w:val="FootnoteText"/>
      </w:pPr>
      <w:r>
        <w:rPr>
          <w:rStyle w:val="FootnoteReference"/>
        </w:rPr>
        <w:footnoteRef/>
      </w:r>
      <w:r>
        <w:t xml:space="preserve"> Farmācijas nozares apgrozījums CSP datos 2010.-2011. gadā netiek uzrādīts. Tas saistīts ar uzņēmumu nelielo skaitu</w:t>
      </w:r>
    </w:p>
  </w:footnote>
  <w:footnote w:id="32">
    <w:p w14:paraId="4C185CC7" w14:textId="77777777" w:rsidR="006E36FB" w:rsidRDefault="006E36FB" w:rsidP="001C7116">
      <w:pPr>
        <w:pStyle w:val="FootnoteText"/>
        <w:spacing w:after="0"/>
      </w:pPr>
      <w:r>
        <w:rPr>
          <w:rStyle w:val="FootnoteReference"/>
        </w:rPr>
        <w:footnoteRef/>
      </w:r>
      <w:r>
        <w:t xml:space="preserve"> Šajā sadaļā tiek galvenokārt analizēts eksports farmācijas un kosmētikas nozarēs, jo medicīnosko ierīču eksporta statisktika ir pieskaitīta klāt pie citām produktu grupām, kuru analīze šeit nav aktuāla un var mainīt kopējo skatu.</w:t>
      </w:r>
    </w:p>
  </w:footnote>
  <w:footnote w:id="33">
    <w:p w14:paraId="5D9CD056" w14:textId="078941C2" w:rsidR="006E36FB" w:rsidRDefault="006E36FB" w:rsidP="001C7116">
      <w:pPr>
        <w:pStyle w:val="FootnoteText"/>
        <w:spacing w:after="0"/>
      </w:pPr>
      <w:r>
        <w:rPr>
          <w:rStyle w:val="FootnoteReference"/>
        </w:rPr>
        <w:footnoteRef/>
      </w:r>
      <w:r>
        <w:t xml:space="preserve"> Eksporta analīzei izmantota Harmonizētās preču sistēma kodēšanas sistēma, kuras savietošanas iespējas ar NACE kodiem ir ierobežotas. Viens uzņēmums var eksportēt dažādus produktus pēc HS kodiem, vienlaikus statistikā viss tā apgrozījums tiek uzskaitīts zem viena NACE koda.</w:t>
      </w:r>
    </w:p>
  </w:footnote>
  <w:footnote w:id="34">
    <w:p w14:paraId="5DAC1296" w14:textId="77777777" w:rsidR="006E36FB" w:rsidRDefault="006E36FB" w:rsidP="001C7116">
      <w:pPr>
        <w:pStyle w:val="FootnoteText"/>
        <w:spacing w:after="0"/>
      </w:pPr>
      <w:r>
        <w:rPr>
          <w:rStyle w:val="FootnoteReference"/>
        </w:rPr>
        <w:footnoteRef/>
      </w:r>
      <w:r>
        <w:t xml:space="preserve"> </w:t>
      </w:r>
      <w:r>
        <w:rPr>
          <w:rStyle w:val="Emphasis"/>
        </w:rPr>
        <w:t>Šīs grupas eksporta rādītāji ir lielāki par apgrozījumu, jo tie ietver arī importēto produktu eksportu, kas turpmāk tiek pārdots ārzemēs.</w:t>
      </w:r>
    </w:p>
  </w:footnote>
  <w:footnote w:id="35">
    <w:p w14:paraId="4B171314" w14:textId="77777777" w:rsidR="006E36FB" w:rsidRDefault="006E36FB" w:rsidP="00757715">
      <w:pPr>
        <w:pStyle w:val="FootnoteText"/>
        <w:spacing w:after="0"/>
      </w:pPr>
      <w:r>
        <w:rPr>
          <w:rStyle w:val="FootnoteReference"/>
        </w:rPr>
        <w:footnoteRef/>
      </w:r>
      <w:r>
        <w:t xml:space="preserve"> Ja Latvijas uzņēmumiem ir pakārtoti uzņēmumi (</w:t>
      </w:r>
      <w:r w:rsidRPr="00AB2518">
        <w:rPr>
          <w:i/>
        </w:rPr>
        <w:t>downstream</w:t>
      </w:r>
      <w:r>
        <w:t>) vai piegādātāji (</w:t>
      </w:r>
      <w:r w:rsidRPr="00AB2518">
        <w:rPr>
          <w:i/>
        </w:rPr>
        <w:t>upstream</w:t>
      </w:r>
      <w:r>
        <w:t xml:space="preserve">), tad tie parasti </w:t>
      </w:r>
      <w:r w:rsidRPr="002868FF">
        <w:t xml:space="preserve">ir </w:t>
      </w:r>
      <w:r>
        <w:t xml:space="preserve">tikai vienā līmenī. </w:t>
      </w:r>
    </w:p>
  </w:footnote>
  <w:footnote w:id="36">
    <w:p w14:paraId="4F43BEAE" w14:textId="77777777" w:rsidR="006E36FB" w:rsidRDefault="006E36FB" w:rsidP="00757715">
      <w:pPr>
        <w:pStyle w:val="FootnoteText"/>
        <w:spacing w:after="0"/>
      </w:pPr>
      <w:r>
        <w:rPr>
          <w:rStyle w:val="FootnoteReference"/>
        </w:rPr>
        <w:footnoteRef/>
      </w:r>
      <w:r>
        <w:t xml:space="preserve"> Latvijas uzņēmumiem Latvijā esošo vērtību ķēdi pārstāv tikai viens vai divi uzņēmumi abos virzienos, gan no pircēju, gan piegādātāju puses. Neskaitot vispārējos, nespecializētos pakalpojumus </w:t>
      </w:r>
      <w:r>
        <w:rPr>
          <w:rFonts w:cstheme="minorHAnsi"/>
        </w:rPr>
        <w:t>—</w:t>
      </w:r>
      <w:r>
        <w:t xml:space="preserve"> apkope, grāmatvedība utt.</w:t>
      </w:r>
    </w:p>
  </w:footnote>
  <w:footnote w:id="37">
    <w:p w14:paraId="1E97A6B1" w14:textId="77777777" w:rsidR="006E36FB" w:rsidRDefault="006E36FB" w:rsidP="00895E83">
      <w:pPr>
        <w:pStyle w:val="FootnoteText"/>
      </w:pPr>
      <w:r>
        <w:rPr>
          <w:rStyle w:val="FootnoteReference"/>
        </w:rPr>
        <w:footnoteRef/>
      </w:r>
      <w:r>
        <w:t xml:space="preserve"> Funkcionalitāte šajā gadījumā ir fokuss uz atšķirīgām produktu īpašībām, kvalitāti utt.</w:t>
      </w:r>
    </w:p>
  </w:footnote>
  <w:footnote w:id="38">
    <w:p w14:paraId="3AE294BD" w14:textId="77777777" w:rsidR="006E36FB" w:rsidRPr="00D36242" w:rsidRDefault="006E36FB" w:rsidP="00895E83">
      <w:pPr>
        <w:pStyle w:val="FootnoteText"/>
      </w:pPr>
      <w:r w:rsidRPr="00D36242">
        <w:rPr>
          <w:rStyle w:val="FootnoteReference"/>
        </w:rPr>
        <w:footnoteRef/>
      </w:r>
      <w:r w:rsidRPr="00D36242">
        <w:t xml:space="preserve"> Medicīnas ierīču nozare šeit nav iekļauta, jo lielākie medicīnisko ierīču ražotāji ir saistīti ar zobārstniecību. Šī analīze arī tika veikta tikai attiecībā uz ķīmijas sektoru. Farmācijas nozares tendences tomēr daudz izsaka par medicīnisko ierīču tirgu, kurš, vienīgais, ir daudzreiz mazāks pēc izmēra.</w:t>
      </w:r>
    </w:p>
  </w:footnote>
  <w:footnote w:id="39">
    <w:p w14:paraId="2DDE562A" w14:textId="77777777" w:rsidR="006E36FB" w:rsidRPr="00D36242" w:rsidRDefault="006E36FB" w:rsidP="00E31A44">
      <w:pPr>
        <w:pStyle w:val="FootnoteText"/>
      </w:pPr>
      <w:r w:rsidRPr="00D36242">
        <w:rPr>
          <w:rStyle w:val="FootnoteReference"/>
        </w:rPr>
        <w:footnoteRef/>
      </w:r>
      <w:r w:rsidRPr="00D36242">
        <w:t xml:space="preserve"> Ja Latvijas uzņēmumiem ir pakārtoti uzņēmumi (</w:t>
      </w:r>
      <w:r w:rsidRPr="00D36242">
        <w:rPr>
          <w:i/>
        </w:rPr>
        <w:t>downstream</w:t>
      </w:r>
      <w:r w:rsidRPr="00D36242">
        <w:t>) vai piegādātāji (</w:t>
      </w:r>
      <w:r w:rsidRPr="00D36242">
        <w:rPr>
          <w:i/>
        </w:rPr>
        <w:t>upstream</w:t>
      </w:r>
      <w:r w:rsidRPr="00D36242">
        <w:t xml:space="preserve">), tad tie parasti ir tikai vienā līmenī. </w:t>
      </w:r>
    </w:p>
  </w:footnote>
  <w:footnote w:id="40">
    <w:p w14:paraId="459C5C48" w14:textId="77777777" w:rsidR="006E36FB" w:rsidRDefault="006E36FB" w:rsidP="00E31A44">
      <w:pPr>
        <w:pStyle w:val="FootnoteText"/>
      </w:pPr>
      <w:r w:rsidRPr="00D36242">
        <w:rPr>
          <w:rStyle w:val="FootnoteReference"/>
        </w:rPr>
        <w:footnoteRef/>
      </w:r>
      <w:r w:rsidRPr="00D36242">
        <w:t xml:space="preserve"> Latvijas uzņēmumiem Latvijā esošo vērtību ķēdi pārstāv tikai viens vai divi uzņēmumi abos virzienos, gan no pircēju, gan piegādātāju puses. Neskaitot vispārējos, nespecializētos pakalpojumus </w:t>
      </w:r>
      <w:r w:rsidRPr="00D36242">
        <w:rPr>
          <w:rFonts w:cstheme="minorHAnsi"/>
        </w:rPr>
        <w:t>—</w:t>
      </w:r>
      <w:r w:rsidRPr="00D36242">
        <w:t xml:space="preserve"> apkope, grāmatvedība utt.</w:t>
      </w:r>
    </w:p>
  </w:footnote>
  <w:footnote w:id="41">
    <w:p w14:paraId="1A8D0A87" w14:textId="77777777" w:rsidR="006E36FB" w:rsidRDefault="006E36FB" w:rsidP="00D36242">
      <w:pPr>
        <w:pStyle w:val="FootnoteText"/>
        <w:spacing w:before="0" w:after="0"/>
      </w:pPr>
      <w:r>
        <w:rPr>
          <w:rStyle w:val="FootnoteReference"/>
        </w:rPr>
        <w:footnoteRef/>
      </w:r>
      <w:r>
        <w:t xml:space="preserve"> Medicīnisko ierīču vērtības ķēde ir līdzīga farmācijai, bet izejvielas un starpprodukti nedaudz atšķiras pēc sastāva.</w:t>
      </w:r>
    </w:p>
  </w:footnote>
  <w:footnote w:id="42">
    <w:p w14:paraId="2FD9A4C0" w14:textId="77777777" w:rsidR="006E36FB" w:rsidRDefault="006E36FB" w:rsidP="00D36242">
      <w:pPr>
        <w:pStyle w:val="FootnoteText"/>
        <w:spacing w:before="0"/>
      </w:pPr>
      <w:r>
        <w:rPr>
          <w:rStyle w:val="FootnoteReference"/>
        </w:rPr>
        <w:footnoteRef/>
      </w:r>
      <w:r>
        <w:t xml:space="preserve"> Tulkojums no </w:t>
      </w:r>
      <w:r w:rsidRPr="00AB2518">
        <w:rPr>
          <w:i/>
        </w:rPr>
        <w:t>upstream markets</w:t>
      </w:r>
    </w:p>
  </w:footnote>
  <w:footnote w:id="43">
    <w:p w14:paraId="4B922D12" w14:textId="77777777" w:rsidR="006E36FB" w:rsidRDefault="006E36FB" w:rsidP="00D36242">
      <w:pPr>
        <w:pStyle w:val="FootnoteText"/>
        <w:spacing w:before="0" w:after="0"/>
      </w:pPr>
      <w:r>
        <w:rPr>
          <w:rStyle w:val="FootnoteReference"/>
        </w:rPr>
        <w:footnoteRef/>
      </w:r>
      <w:r>
        <w:t xml:space="preserve"> </w:t>
      </w:r>
      <w:r>
        <w:fldChar w:fldCharType="begin"/>
      </w:r>
      <w:r>
        <w:instrText xml:space="preserve"> ADDIN ZOTERO_ITEM CSL_CITATION {"citationID":"y7recFmq","properties":{"formattedCitation":"Ramakers, \"Fine chemicals in non-pharma markets\".","plainCitation":"Ramakers, \"Fine chemicals in non-pharma markets\"."},"citationItems":[{"id":50,"uris":["http://zotero.org/groups/284232/items/HVVCM75U"],"uri":["http://zotero.org/groups/284232/items/HVVCM75U"],"itemData":{"id":50,"type":"article-journal","title":"Fine chemicals in non-pharma markets","URL":"http://www.specchemonline.com/articles/view/fine-chemicals-in-non-pharma-markets#.VBqG5Pl_tHY","author":[{"family":"Ramakers","given":"Jan"}],"issued":{"date-parts":[["2013",2]]}}}],"schema":"https://github.com/citation-style-language/schema/raw/master/csl-citation.json"} </w:instrText>
      </w:r>
      <w:r>
        <w:fldChar w:fldCharType="separate"/>
      </w:r>
      <w:r w:rsidRPr="00AB2518">
        <w:rPr>
          <w:rFonts w:ascii="Segoe UI" w:hAnsi="Segoe UI" w:cs="Segoe UI"/>
        </w:rPr>
        <w:t>Ramakers, "Fine chemicals in non-pharma markets".</w:t>
      </w:r>
      <w:r>
        <w:fldChar w:fldCharType="end"/>
      </w:r>
    </w:p>
  </w:footnote>
  <w:footnote w:id="44">
    <w:p w14:paraId="41D7E4C7" w14:textId="77777777" w:rsidR="006E36FB" w:rsidRDefault="006E36FB" w:rsidP="00D36242">
      <w:pPr>
        <w:pStyle w:val="FootnoteText"/>
        <w:shd w:val="clear" w:color="auto" w:fill="auto"/>
        <w:spacing w:before="0" w:after="0"/>
      </w:pPr>
      <w:r w:rsidRPr="004E0779">
        <w:rPr>
          <w:rStyle w:val="FootnoteReference"/>
        </w:rPr>
        <w:footnoteRef/>
      </w:r>
      <w:r w:rsidRPr="004E0779">
        <w:t xml:space="preserve"> Avots: Dienas Bizness 2015, dati no Lursoft.</w:t>
      </w:r>
    </w:p>
  </w:footnote>
  <w:footnote w:id="45">
    <w:p w14:paraId="12708CF3" w14:textId="77777777" w:rsidR="006E36FB" w:rsidRDefault="006E36FB" w:rsidP="00E31A44">
      <w:pPr>
        <w:pStyle w:val="FootnoteText"/>
      </w:pPr>
      <w:r>
        <w:rPr>
          <w:rStyle w:val="FootnoteReference"/>
        </w:rPr>
        <w:footnoteRef/>
      </w:r>
      <w:r>
        <w:t xml:space="preserve"> Valsts zāļu aģentūras gada pārskats 2014</w:t>
      </w:r>
    </w:p>
  </w:footnote>
  <w:footnote w:id="46">
    <w:p w14:paraId="2683B295" w14:textId="77777777" w:rsidR="006E36FB" w:rsidRDefault="006E36FB" w:rsidP="00FD2461">
      <w:pPr>
        <w:pStyle w:val="FootnoteText"/>
        <w:spacing w:before="0" w:after="0"/>
      </w:pPr>
      <w:r>
        <w:rPr>
          <w:rStyle w:val="FootnoteReference"/>
        </w:rPr>
        <w:footnoteRef/>
      </w:r>
      <w:r>
        <w:t xml:space="preserve"> </w:t>
      </w:r>
      <w:r>
        <w:fldChar w:fldCharType="begin"/>
      </w:r>
      <w:r>
        <w:instrText xml:space="preserve"> ADDIN ZOTERO_ITEM CSL_CITATION {"citationID":"G0DMI0MU","properties":{"formattedCitation":"Swamidass, \"Mining small-molecule screens to repurpose drugs\".","plainCitation":"Swamidass, \"Mining small-molecule screens to repurpose drugs\"."},"citationItems":[{"id":70,"uris":["http://zotero.org/groups/284232/items/PG26PA84"],"uri":["http://zotero.org/groups/284232/items/PG26PA84"],"itemData":{"id":70,"type":"article-journal","title":"Mining small-molecule screens to repurpose drugs","container-title":"Briefings in bioinformatics","page":"327-335","volume":"12","issue":"4","ISSN":"1467-5463","author":[{"family":"Swamidass","given":"S Joshua"}],"issued":{"date-parts":[["2011"]]}}}],"schema":"https://github.com/citation-style-language/schema/raw/master/csl-citation.json"} </w:instrText>
      </w:r>
      <w:r>
        <w:fldChar w:fldCharType="separate"/>
      </w:r>
      <w:r w:rsidRPr="00AB2518">
        <w:rPr>
          <w:rFonts w:ascii="Segoe UI" w:hAnsi="Segoe UI" w:cs="Segoe UI"/>
        </w:rPr>
        <w:t>Swamidass, "Mining small-molecule screens to repurpose drugs".</w:t>
      </w:r>
      <w:r>
        <w:fldChar w:fldCharType="end"/>
      </w:r>
    </w:p>
  </w:footnote>
  <w:footnote w:id="47">
    <w:p w14:paraId="59264952" w14:textId="77777777" w:rsidR="006E36FB" w:rsidRDefault="006E36FB" w:rsidP="00FD2461">
      <w:pPr>
        <w:pStyle w:val="FootnoteText"/>
        <w:spacing w:before="0" w:after="0"/>
      </w:pPr>
      <w:r>
        <w:rPr>
          <w:rStyle w:val="FootnoteReference"/>
        </w:rPr>
        <w:footnoteRef/>
      </w:r>
      <w:r>
        <w:t xml:space="preserve"> </w:t>
      </w:r>
      <w:r>
        <w:fldChar w:fldCharType="begin"/>
      </w:r>
      <w:r>
        <w:instrText xml:space="preserve"> ADDIN ZOTERO_ITEM CSL_CITATION {"citationID":"AHPz7D4F","properties":{"formattedCitation":"{\\rtf \\uc0\\u8220{}Google Tendences - Drug Repurposing, Drug Repositioning - Vis\\uc0\\u257{} Pasaul\\uc0\\u275{}, 2004. Gads \\uc0\\u8211{} Pa\\uc0\\u353{}reiz.\\uc0\\u8221{}}","plainCitation":"“Google Tendences - Drug Repurposing, Drug Repositioning - Visā Pasaulē, 2004. Gads – Pašreiz.”","dontUpdate":true},"citationItems":[{"id":3,"uris":["http://zotero.org/groups/284232/items/252MNU3N"],"uri":["http://zotero.org/groups/284232/items/252MNU3N"],"itemData":{"id":3,"type":"webpage","title":"Google tendences - Drug repurposing, drug repositioning - Visā pasaulē, 2004. gads – pašreiz","container-title":"Google tendences","abstract":"Izpētiet Google meklēšanas tendences, izmantojot pakalpojumu Google tendences.","URL":"http://www.google.com/trends/explore","accessed":{"date-parts":[["2014",9,30]]}}}],"schema":"https://github.com/citation-style-language/schema/raw/master/csl-citation.json"} </w:instrText>
      </w:r>
      <w:r>
        <w:fldChar w:fldCharType="separate"/>
      </w:r>
      <w:r w:rsidRPr="00EF2CA3">
        <w:rPr>
          <w:rFonts w:ascii="Segoe UI" w:hAnsi="Segoe UI" w:cs="Segoe UI"/>
          <w:szCs w:val="24"/>
        </w:rPr>
        <w:t>“</w:t>
      </w:r>
      <w:r w:rsidRPr="00AB2518">
        <w:rPr>
          <w:rFonts w:ascii="Segoe UI" w:hAnsi="Segoe UI"/>
          <w:i/>
        </w:rPr>
        <w:t>Google</w:t>
      </w:r>
      <w:r w:rsidRPr="00EF2CA3">
        <w:rPr>
          <w:rFonts w:ascii="Segoe UI" w:hAnsi="Segoe UI" w:cs="Segoe UI"/>
          <w:szCs w:val="24"/>
        </w:rPr>
        <w:t xml:space="preserve"> </w:t>
      </w:r>
      <w:r>
        <w:rPr>
          <w:rFonts w:ascii="Segoe UI" w:hAnsi="Segoe UI" w:cs="Segoe UI"/>
          <w:szCs w:val="24"/>
        </w:rPr>
        <w:t>t</w:t>
      </w:r>
      <w:r w:rsidRPr="00EF2CA3">
        <w:rPr>
          <w:rFonts w:ascii="Segoe UI" w:hAnsi="Segoe UI" w:cs="Segoe UI"/>
          <w:szCs w:val="24"/>
        </w:rPr>
        <w:t xml:space="preserve">endences - </w:t>
      </w:r>
      <w:r w:rsidRPr="00AB2518">
        <w:rPr>
          <w:rFonts w:ascii="Segoe UI" w:hAnsi="Segoe UI"/>
          <w:i/>
        </w:rPr>
        <w:t>Drug Repurposing, Drug Repositioning</w:t>
      </w:r>
      <w:r w:rsidRPr="00EF2CA3">
        <w:rPr>
          <w:rFonts w:ascii="Segoe UI" w:hAnsi="Segoe UI" w:cs="Segoe UI"/>
          <w:szCs w:val="24"/>
        </w:rPr>
        <w:t xml:space="preserve"> - </w:t>
      </w:r>
      <w:r>
        <w:rPr>
          <w:rFonts w:ascii="Segoe UI" w:hAnsi="Segoe UI" w:cs="Segoe UI"/>
          <w:szCs w:val="24"/>
        </w:rPr>
        <w:t>v</w:t>
      </w:r>
      <w:r w:rsidRPr="00EF2CA3">
        <w:rPr>
          <w:rFonts w:ascii="Segoe UI" w:hAnsi="Segoe UI" w:cs="Segoe UI"/>
          <w:szCs w:val="24"/>
        </w:rPr>
        <w:t xml:space="preserve">isā Pasaulē, 2004. </w:t>
      </w:r>
      <w:r>
        <w:rPr>
          <w:rFonts w:ascii="Segoe UI" w:hAnsi="Segoe UI" w:cs="Segoe UI"/>
          <w:szCs w:val="24"/>
        </w:rPr>
        <w:t>g</w:t>
      </w:r>
      <w:r w:rsidRPr="00EF2CA3">
        <w:rPr>
          <w:rFonts w:ascii="Segoe UI" w:hAnsi="Segoe UI" w:cs="Segoe UI"/>
          <w:szCs w:val="24"/>
        </w:rPr>
        <w:t xml:space="preserve">ads – </w:t>
      </w:r>
      <w:r>
        <w:rPr>
          <w:rFonts w:ascii="Segoe UI" w:hAnsi="Segoe UI" w:cs="Segoe UI"/>
          <w:szCs w:val="24"/>
        </w:rPr>
        <w:t>pašlaik</w:t>
      </w:r>
      <w:r w:rsidRPr="00EF2CA3">
        <w:rPr>
          <w:rFonts w:ascii="Segoe UI" w:hAnsi="Segoe UI" w:cs="Segoe UI"/>
          <w:szCs w:val="24"/>
        </w:rPr>
        <w:t>.”</w:t>
      </w:r>
      <w:r>
        <w:fldChar w:fldCharType="end"/>
      </w:r>
    </w:p>
  </w:footnote>
  <w:footnote w:id="48">
    <w:p w14:paraId="2566C756" w14:textId="77777777" w:rsidR="006E36FB" w:rsidRDefault="006E36FB" w:rsidP="00FD2461">
      <w:pPr>
        <w:pStyle w:val="FootnoteText"/>
        <w:spacing w:before="0" w:after="0"/>
      </w:pPr>
      <w:r>
        <w:rPr>
          <w:rStyle w:val="FootnoteReference"/>
        </w:rPr>
        <w:footnoteRef/>
      </w:r>
      <w:r>
        <w:t xml:space="preserve"> </w:t>
      </w:r>
      <w:r>
        <w:fldChar w:fldCharType="begin"/>
      </w:r>
      <w:r>
        <w:instrText xml:space="preserve"> ADDIN ZOTERO_ITEM CSL_CITATION {"citationID":"Y8YNTeI5","properties":{"formattedCitation":"Allarakhia, \"Open-source approaches for the repurposing of existing or failed candidate drugs: learning from and applying the lessons across diseases\", 1.","plainCitation":"Allarakhia, \"Open-source approaches for the repurposing of existing or failed candidate drugs: learning from and applying the lessons across diseases\", 1."},"citationItems":[{"id":10,"uris":["http://zotero.org/groups/284232/items/3XW77DTM"],"uri":["http://zotero.org/groups/284232/items/3XW77DTM"],"itemData":{"id":10,"type":"article-journal","title":"Open-source approaches for the repurposing of existing or failed candidate drugs: learning from and applying the lessons across diseases","container-title":"Drug design, development and therapy","page":"753","volume":"7","author":[{"family":"Allarakhia","given":"Minna"}],"issued":{"date-parts":[["2013"]]}},"locator":"1"}],"schema":"https://github.com/citation-style-language/schema/raw/master/csl-citation.json"} </w:instrText>
      </w:r>
      <w:r>
        <w:fldChar w:fldCharType="separate"/>
      </w:r>
      <w:r w:rsidRPr="00AB2518">
        <w:rPr>
          <w:rFonts w:ascii="Segoe UI" w:hAnsi="Segoe UI" w:cs="Segoe UI"/>
        </w:rPr>
        <w:t>Allarakhia, "Open-source approaches for the repurposing of existing or failed candidate drugs: learning from and applying the lessons across diseases", 1.</w:t>
      </w:r>
      <w:r>
        <w:fldChar w:fldCharType="end"/>
      </w:r>
    </w:p>
  </w:footnote>
  <w:footnote w:id="49">
    <w:p w14:paraId="72F9F379" w14:textId="77777777" w:rsidR="006E36FB" w:rsidRDefault="006E36FB" w:rsidP="00827CBF">
      <w:pPr>
        <w:pStyle w:val="FootnoteText"/>
      </w:pPr>
      <w:r>
        <w:rPr>
          <w:rStyle w:val="FootnoteReference"/>
        </w:rPr>
        <w:footnoteRef/>
      </w:r>
      <w:r>
        <w:t xml:space="preserve"> Bioloģijas novirziens, kas plaši izmanto datorprogrammēšanu kā bioloģisko sistēmu pētniecības metodi, </w:t>
      </w:r>
    </w:p>
  </w:footnote>
  <w:footnote w:id="50">
    <w:p w14:paraId="2F23A682" w14:textId="77777777" w:rsidR="006E36FB" w:rsidRDefault="006E36FB" w:rsidP="00827CBF">
      <w:pPr>
        <w:pStyle w:val="FootnoteText"/>
      </w:pPr>
      <w:r>
        <w:rPr>
          <w:rStyle w:val="FootnoteReference"/>
        </w:rPr>
        <w:footnoteRef/>
      </w:r>
      <w:r>
        <w:t xml:space="preserve"> Ar </w:t>
      </w:r>
      <w:r w:rsidRPr="00B00158">
        <w:rPr>
          <w:i/>
          <w:u w:val="single"/>
        </w:rPr>
        <w:t>paaudzi Y</w:t>
      </w:r>
      <w:r>
        <w:t xml:space="preserve"> (</w:t>
      </w:r>
      <w:r w:rsidRPr="00AB2518">
        <w:rPr>
          <w:i/>
        </w:rPr>
        <w:t>Generation Y</w:t>
      </w:r>
      <w:r>
        <w:t>) apzīmē pagājušā gadsimta astoņdesmitajos gados un deviņdesmito gadu sākumā dzimušos cilvēkus. Mārketinga termins.</w:t>
      </w:r>
    </w:p>
  </w:footnote>
  <w:footnote w:id="51">
    <w:p w14:paraId="05B78433" w14:textId="77777777" w:rsidR="006E36FB" w:rsidRDefault="006E36FB" w:rsidP="00827CBF">
      <w:pPr>
        <w:pStyle w:val="FootnoteText"/>
      </w:pPr>
      <w:r>
        <w:rPr>
          <w:rStyle w:val="FootnoteReference"/>
        </w:rPr>
        <w:footnoteRef/>
      </w:r>
      <w:r>
        <w:t xml:space="preserve"> </w:t>
      </w:r>
      <w:r>
        <w:fldChar w:fldCharType="begin"/>
      </w:r>
      <w:r>
        <w:instrText xml:space="preserve"> ADDIN ZOTERO_ITEM CSL_CITATION {"citationID":"h9N6cZi2","properties":{"formattedCitation":"Skin Inc, \"Top 10 Professional Skin Care Industry Trends for 2014\".","plainCitation":"Skin Inc, \"Top 10 Professional Skin Care Industry Trends for 2014\"."},"citationItems":[{"id":41,"uris":["http://zotero.org/groups/284232/items/EWQ3RRMP"],"uri":["http://zotero.org/groups/284232/items/EWQ3RRMP"],"itemData":{"id":41,"type":"webpage","title":"Top 10 Professional Skin Care Industry Trends for 2014","container-title":"Skin Inc","URL":"http://www.skininc.com/spabusiness/trends/234453551.html?utm_source=Most+Read&amp;utm_medium=website&amp;utm_campaign=Most+Read","author":[{"family":"Skin Inc","given":""}],"accessed":{"date-parts":[["2014",9,25]]}}}],"schema":"https://github.com/citation-style-language/schema/raw/master/csl-citation.json"} </w:instrText>
      </w:r>
      <w:r>
        <w:fldChar w:fldCharType="separate"/>
      </w:r>
      <w:r w:rsidRPr="00AB2518">
        <w:rPr>
          <w:rFonts w:ascii="Segoe UI" w:hAnsi="Segoe UI" w:cs="Segoe UI"/>
        </w:rPr>
        <w:t>Skin Inc, "Top 10 Professional Skin Care Industry Trends for 2014".</w:t>
      </w:r>
      <w:r>
        <w:fldChar w:fldCharType="end"/>
      </w:r>
    </w:p>
  </w:footnote>
  <w:footnote w:id="52">
    <w:p w14:paraId="582B1C2C" w14:textId="77777777" w:rsidR="006E36FB" w:rsidRDefault="006E36FB" w:rsidP="001F6AA9">
      <w:pPr>
        <w:pStyle w:val="FootnoteText"/>
      </w:pPr>
      <w:r>
        <w:rPr>
          <w:rStyle w:val="FootnoteReference"/>
        </w:rPr>
        <w:footnoteRef/>
      </w:r>
      <w:r>
        <w:t xml:space="preserve"> </w:t>
      </w:r>
      <w:r w:rsidRPr="00CF2A2B">
        <w:t>Skaitļošanas jaudu piegāde, izmantojot datortīklu vai internetu, bieži tiek piedāvāt</w:t>
      </w:r>
      <w:r>
        <w:t>a</w:t>
      </w:r>
      <w:r w:rsidRPr="00CF2A2B">
        <w:t xml:space="preserve"> kā pakalpojums</w:t>
      </w:r>
      <w:r>
        <w:t>.</w:t>
      </w:r>
    </w:p>
  </w:footnote>
  <w:footnote w:id="53">
    <w:p w14:paraId="08E4B55B" w14:textId="77777777" w:rsidR="006E36FB" w:rsidRDefault="006E36FB" w:rsidP="001F6AA9">
      <w:pPr>
        <w:pStyle w:val="FootnoteText"/>
      </w:pPr>
      <w:r>
        <w:rPr>
          <w:rStyle w:val="FootnoteReference"/>
        </w:rPr>
        <w:footnoteRef/>
      </w:r>
      <w:r>
        <w:t xml:space="preserve"> Z</w:t>
      </w:r>
      <w:r w:rsidRPr="00CF2A2B">
        <w:t xml:space="preserve">emu izmaksu gēnu </w:t>
      </w:r>
      <w:r>
        <w:t>ā</w:t>
      </w:r>
      <w:r w:rsidRPr="00CF2A2B">
        <w:t>tra sekvencēšana, lielu datu apstrāde un sintēti</w:t>
      </w:r>
      <w:r>
        <w:t>skā bioloģija (DNS „rakstīšana”).</w:t>
      </w:r>
    </w:p>
  </w:footnote>
  <w:footnote w:id="54">
    <w:p w14:paraId="2D5B4458" w14:textId="77777777" w:rsidR="006E36FB" w:rsidRDefault="006E36FB" w:rsidP="003D7434">
      <w:pPr>
        <w:pStyle w:val="FootnoteText"/>
        <w:spacing w:before="0" w:after="0"/>
      </w:pPr>
      <w:r>
        <w:rPr>
          <w:rStyle w:val="FootnoteReference"/>
        </w:rPr>
        <w:footnoteRef/>
      </w:r>
      <w:r>
        <w:t xml:space="preserve"> Ja Latvijas uzņēmumiem ir pakārtoti uzņēmumi (</w:t>
      </w:r>
      <w:r>
        <w:rPr>
          <w:i/>
        </w:rPr>
        <w:t>downstream</w:t>
      </w:r>
      <w:r>
        <w:t>) vai piegādātāji (</w:t>
      </w:r>
      <w:r>
        <w:rPr>
          <w:i/>
        </w:rPr>
        <w:t>upstream</w:t>
      </w:r>
      <w:r>
        <w:t xml:space="preserve">), tad tie parasti ir tikai vienā līmenī. </w:t>
      </w:r>
    </w:p>
  </w:footnote>
  <w:footnote w:id="55">
    <w:p w14:paraId="2159B604" w14:textId="77777777" w:rsidR="006E36FB" w:rsidRDefault="006E36FB" w:rsidP="003D7434">
      <w:pPr>
        <w:pStyle w:val="FootnoteText"/>
        <w:spacing w:before="0" w:after="0"/>
      </w:pPr>
      <w:r>
        <w:rPr>
          <w:rStyle w:val="FootnoteReference"/>
        </w:rPr>
        <w:footnoteRef/>
      </w:r>
      <w:r>
        <w:t xml:space="preserve"> Latvijas uzņēmumiem Latvijā esošo vērtību ķēdi pārstāv tikai viens vai divi uzņēmumi abos virzienos, gan no pircēju, gan piegādātāju puses. Neskaitot vispārējos, nespecializētos pakalpojumus </w:t>
      </w:r>
      <w:r>
        <w:rPr>
          <w:rFonts w:cstheme="minorHAnsi"/>
        </w:rPr>
        <w:t>—</w:t>
      </w:r>
      <w:r>
        <w:t xml:space="preserve"> apkope, grāmatvedība utt.</w:t>
      </w:r>
    </w:p>
    <w:p w14:paraId="09A88D53" w14:textId="77777777" w:rsidR="006E36FB" w:rsidRDefault="006E36FB" w:rsidP="003D7434">
      <w:pPr>
        <w:pStyle w:val="FootnoteText"/>
        <w:spacing w:before="0" w:after="0"/>
      </w:pPr>
      <w:r>
        <w:rPr>
          <w:vertAlign w:val="superscript"/>
        </w:rPr>
        <w:t xml:space="preserve">3   </w:t>
      </w:r>
      <w:r>
        <w:t>DTTL Life Sciences and Health care Indoustry Group analysis of TechNavio analysis 2014-2018</w:t>
      </w:r>
    </w:p>
  </w:footnote>
  <w:footnote w:id="56">
    <w:p w14:paraId="738A5549" w14:textId="77777777" w:rsidR="006E36FB" w:rsidRDefault="006E36FB" w:rsidP="003D7434">
      <w:pPr>
        <w:pStyle w:val="FootnoteText"/>
        <w:spacing w:before="0" w:after="0"/>
      </w:pPr>
      <w:r>
        <w:rPr>
          <w:rStyle w:val="FootnoteReference"/>
        </w:rPr>
        <w:footnoteRef/>
      </w:r>
      <w:r>
        <w:t xml:space="preserve"> Informatīvais ziņojums „Par zinātnes starptautisko izvērtējumu”, izskatīts MK sēdē 2014. gada 21. janvārī.</w:t>
      </w:r>
    </w:p>
  </w:footnote>
  <w:footnote w:id="57">
    <w:p w14:paraId="45D9CF50" w14:textId="77777777" w:rsidR="006E36FB" w:rsidRDefault="006E36FB" w:rsidP="007C6AB7">
      <w:pPr>
        <w:pStyle w:val="FootnoteText"/>
      </w:pPr>
      <w:r>
        <w:rPr>
          <w:rStyle w:val="FootnoteReference"/>
        </w:rPr>
        <w:footnoteRef/>
      </w:r>
      <w:r>
        <w:t xml:space="preserve"> </w:t>
      </w:r>
      <w:r w:rsidRPr="00AB2518">
        <w:rPr>
          <w:i/>
        </w:rPr>
        <w:t>Total R&amp;D personnel and researchers by sectors of performance, as</w:t>
      </w:r>
      <w:r w:rsidRPr="002868FF">
        <w:rPr>
          <w:i/>
        </w:rPr>
        <w:t> </w:t>
      </w:r>
      <w:r w:rsidRPr="00AB2518">
        <w:rPr>
          <w:i/>
        </w:rPr>
        <w:t>% of total labour force and total employment, and by sex [rd_p_perslf]</w:t>
      </w:r>
    </w:p>
  </w:footnote>
  <w:footnote w:id="58">
    <w:p w14:paraId="0A429FFA" w14:textId="77777777" w:rsidR="006E36FB" w:rsidRDefault="006E36FB" w:rsidP="0017629A">
      <w:pPr>
        <w:pStyle w:val="FootnoteText"/>
      </w:pPr>
      <w:r>
        <w:rPr>
          <w:rStyle w:val="FootnoteReference"/>
        </w:rPr>
        <w:footnoteRef/>
      </w:r>
      <w:r>
        <w:t xml:space="preserve"> Ievērojams nenoteiktības apjoms ir nepieciešamā pazīme atbilstoši Frascati rokasgrāmatai, lai aktivitātes kvalificētos par P&amp;A&amp;I aktivitātēm.</w:t>
      </w:r>
    </w:p>
  </w:footnote>
  <w:footnote w:id="59">
    <w:p w14:paraId="3E5C7634" w14:textId="77777777" w:rsidR="006E36FB" w:rsidRDefault="006E36FB" w:rsidP="00B80C57">
      <w:pPr>
        <w:pStyle w:val="FootnoteText"/>
        <w:jc w:val="left"/>
      </w:pPr>
      <w:r>
        <w:rPr>
          <w:rStyle w:val="FootnoteReference"/>
        </w:rPr>
        <w:footnoteRef/>
      </w:r>
      <w:r>
        <w:t xml:space="preserve"> “Business knows best” pieeju lieto arī Eurostars programmās </w:t>
      </w:r>
      <w:r w:rsidRPr="0021004B">
        <w:t>http://www.eurekanetwork.org/sites/default/files/publications/eurostars-sme.pdf</w:t>
      </w:r>
    </w:p>
  </w:footnote>
  <w:footnote w:id="60">
    <w:p w14:paraId="04838823" w14:textId="77777777" w:rsidR="006E36FB" w:rsidRDefault="006E36FB" w:rsidP="00872E34">
      <w:pPr>
        <w:pStyle w:val="FootnoteText"/>
      </w:pPr>
      <w:r>
        <w:rPr>
          <w:rStyle w:val="FootnoteReference"/>
        </w:rPr>
        <w:footnoteRef/>
      </w:r>
      <w:r>
        <w:t xml:space="preserve"> </w:t>
      </w:r>
      <w:r w:rsidRPr="00374989">
        <w:t>McKinsey &amp;. McKinsey on Chemicals, 2012. gada.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A341EB" w14:textId="4155C0D2" w:rsidR="006E36FB" w:rsidRPr="00F91137" w:rsidRDefault="00000000" w:rsidP="00F91137">
    <w:pPr>
      <w:pStyle w:val="HT1"/>
    </w:pPr>
    <w:sdt>
      <w:sdtPr>
        <w:alias w:val="Title"/>
        <w:id w:val="-540051866"/>
        <w:dataBinding w:prefixMappings="xmlns:ns0='http://schemas.openxmlformats.org/package/2006/metadata/core-properties' xmlns:ns1='http://purl.org/dc/elements/1.1/'" w:xpath="/ns0:coreProperties[1]/ns1:title[1]" w:storeItemID="{6C3C8BC8-F283-45AE-878A-BAB7291924A1}"/>
        <w:text/>
      </w:sdtPr>
      <w:sdtContent>
        <w:r w:rsidR="006E36FB">
          <w:t>Farmācijas, biomedicīnas un medicīnas tehnoloģiju un kompetences centra attīstības stratēģija</w:t>
        </w:r>
      </w:sdtContent>
    </w:sdt>
  </w:p>
  <w:p w14:paraId="24249B55" w14:textId="3125DE36" w:rsidR="006E36FB" w:rsidRPr="003D6696" w:rsidRDefault="006E36FB" w:rsidP="00404B33">
    <w:pPr>
      <w:tabs>
        <w:tab w:val="left" w:pos="795"/>
      </w:tabs>
    </w:pPr>
    <w:r>
      <w:rPr>
        <w:noProof/>
        <w:shd w:val="clear" w:color="auto" w:fill="auto"/>
        <w:lang w:eastAsia="lv-LV"/>
      </w:rPr>
      <mc:AlternateContent>
        <mc:Choice Requires="wps">
          <w:drawing>
            <wp:anchor distT="0" distB="0" distL="114300" distR="114300" simplePos="0" relativeHeight="251658240" behindDoc="0" locked="0" layoutInCell="1" allowOverlap="1" wp14:anchorId="42B279C1" wp14:editId="6D2BD064">
              <wp:simplePos x="0" y="0"/>
              <wp:positionH relativeFrom="margin">
                <wp:posOffset>7620</wp:posOffset>
              </wp:positionH>
              <wp:positionV relativeFrom="paragraph">
                <wp:posOffset>85725</wp:posOffset>
              </wp:positionV>
              <wp:extent cx="5172075" cy="0"/>
              <wp:effectExtent l="0" t="0" r="28575" b="19050"/>
              <wp:wrapNone/>
              <wp:docPr id="27" name="Straight Connector 27"/>
              <wp:cNvGraphicFramePr/>
              <a:graphic xmlns:a="http://schemas.openxmlformats.org/drawingml/2006/main">
                <a:graphicData uri="http://schemas.microsoft.com/office/word/2010/wordprocessingShape">
                  <wps:wsp>
                    <wps:cNvCnPr/>
                    <wps:spPr>
                      <a:xfrm flipV="1">
                        <a:off x="0" y="0"/>
                        <a:ext cx="51720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2592492" id="Straight Connector 27" o:spid="_x0000_s1026" style="position:absolute;flip:y;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6.75pt" to="407.85pt,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" strokecolor="#5b9bd5 [3204]" strokeweight=".5pt">
              <v:stroke joinstyle="miter"/>
              <w10:wrap anchorx="margin"/>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41666AB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34C2B65"/>
    <w:multiLevelType w:val="hybridMultilevel"/>
    <w:tmpl w:val="0F8AA3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34485A"/>
    <w:multiLevelType w:val="hybridMultilevel"/>
    <w:tmpl w:val="DED42DA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C77B69"/>
    <w:multiLevelType w:val="hybridMultilevel"/>
    <w:tmpl w:val="9E628F28"/>
    <w:lvl w:ilvl="0" w:tplc="08090005">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1065332D"/>
    <w:multiLevelType w:val="hybridMultilevel"/>
    <w:tmpl w:val="24705F02"/>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17832AAD"/>
    <w:multiLevelType w:val="hybridMultilevel"/>
    <w:tmpl w:val="9E801776"/>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6" w15:restartNumberingAfterBreak="0">
    <w:nsid w:val="1905117B"/>
    <w:multiLevelType w:val="hybridMultilevel"/>
    <w:tmpl w:val="ABA210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AC12468"/>
    <w:multiLevelType w:val="multilevel"/>
    <w:tmpl w:val="AE9C197E"/>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Calibri" w:eastAsiaTheme="minorHAnsi" w:hAnsi="Calibri" w:cstheme="minorBidi" w:hint="default"/>
      </w:rPr>
    </w:lvl>
    <w:lvl w:ilvl="2">
      <w:start w:val="1"/>
      <w:numFmt w:val="lowerLetter"/>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C1057E2"/>
    <w:multiLevelType w:val="hybridMultilevel"/>
    <w:tmpl w:val="6BCE33D6"/>
    <w:lvl w:ilvl="0" w:tplc="B938315A">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2293592"/>
    <w:multiLevelType w:val="hybridMultilevel"/>
    <w:tmpl w:val="E078FB80"/>
    <w:lvl w:ilvl="0" w:tplc="03B48E5A">
      <w:start w:val="1"/>
      <w:numFmt w:val="bullet"/>
      <w:pStyle w:val="Forbidden"/>
      <w:lvlText w:val=""/>
      <w:lvlJc w:val="left"/>
      <w:pPr>
        <w:ind w:left="720" w:hanging="360"/>
      </w:pPr>
      <w:rPr>
        <w:rFonts w:ascii="Wingdings" w:hAnsi="Wingdings" w:hint="default"/>
        <w:b/>
        <w:i w:val="0"/>
        <w:color w:val="800000"/>
        <w:sz w:val="24"/>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230353B7"/>
    <w:multiLevelType w:val="multilevel"/>
    <w:tmpl w:val="20E4300E"/>
    <w:styleLink w:val="Headings3NEW"/>
    <w:lvl w:ilvl="0">
      <w:start w:val="1"/>
      <w:numFmt w:val="decimal"/>
      <w:lvlText w:val="%1."/>
      <w:lvlJc w:val="left"/>
      <w:pPr>
        <w:ind w:left="885" w:hanging="431"/>
      </w:pPr>
      <w:rPr>
        <w:rFonts w:hint="default"/>
      </w:rPr>
    </w:lvl>
    <w:lvl w:ilvl="1">
      <w:start w:val="1"/>
      <w:numFmt w:val="decimal"/>
      <w:lvlText w:val="%1.%2."/>
      <w:lvlJc w:val="left"/>
      <w:pPr>
        <w:ind w:left="885" w:hanging="431"/>
      </w:pPr>
      <w:rPr>
        <w:rFonts w:hint="default"/>
      </w:rPr>
    </w:lvl>
    <w:lvl w:ilvl="2">
      <w:start w:val="1"/>
      <w:numFmt w:val="decimal"/>
      <w:lvlText w:val="%1.%2.%3."/>
      <w:lvlJc w:val="left"/>
      <w:pPr>
        <w:ind w:left="1339" w:hanging="431"/>
      </w:pPr>
      <w:rPr>
        <w:rFonts w:hint="default"/>
        <w:color w:val="2F5496" w:themeColor="accent5" w:themeShade="BF"/>
      </w:rPr>
    </w:lvl>
    <w:lvl w:ilvl="3">
      <w:start w:val="1"/>
      <w:numFmt w:val="decimal"/>
      <w:lvlText w:val="%1.%2.%3.%4."/>
      <w:lvlJc w:val="left"/>
      <w:pPr>
        <w:ind w:left="1566" w:hanging="431"/>
      </w:pPr>
      <w:rPr>
        <w:rFonts w:hint="default"/>
      </w:rPr>
    </w:lvl>
    <w:lvl w:ilvl="4">
      <w:start w:val="1"/>
      <w:numFmt w:val="decimal"/>
      <w:lvlText w:val="%1.%2.%3.%4.%5."/>
      <w:lvlJc w:val="left"/>
      <w:pPr>
        <w:ind w:left="1793" w:hanging="431"/>
      </w:pPr>
      <w:rPr>
        <w:rFonts w:hint="default"/>
      </w:rPr>
    </w:lvl>
    <w:lvl w:ilvl="5">
      <w:start w:val="1"/>
      <w:numFmt w:val="decimal"/>
      <w:lvlText w:val="%1.%2.%3.%4.%5.%6"/>
      <w:lvlJc w:val="left"/>
      <w:pPr>
        <w:ind w:left="2020" w:hanging="431"/>
      </w:pPr>
      <w:rPr>
        <w:rFonts w:hint="default"/>
      </w:rPr>
    </w:lvl>
    <w:lvl w:ilvl="6">
      <w:start w:val="1"/>
      <w:numFmt w:val="decimal"/>
      <w:lvlText w:val="%1.%2.%3.%4.%5.%6.%7"/>
      <w:lvlJc w:val="left"/>
      <w:pPr>
        <w:ind w:left="2247" w:hanging="431"/>
      </w:pPr>
      <w:rPr>
        <w:rFonts w:hint="default"/>
      </w:rPr>
    </w:lvl>
    <w:lvl w:ilvl="7">
      <w:start w:val="1"/>
      <w:numFmt w:val="decimal"/>
      <w:lvlText w:val="%1.%2.%3.%4.%5.%6.%7.%8"/>
      <w:lvlJc w:val="left"/>
      <w:pPr>
        <w:ind w:left="2474" w:hanging="431"/>
      </w:pPr>
      <w:rPr>
        <w:rFonts w:hint="default"/>
      </w:rPr>
    </w:lvl>
    <w:lvl w:ilvl="8">
      <w:start w:val="1"/>
      <w:numFmt w:val="decimal"/>
      <w:lvlText w:val="%1.%2.%3.%4.%5.%6.%7.%8.%9"/>
      <w:lvlJc w:val="left"/>
      <w:pPr>
        <w:ind w:left="2701" w:hanging="431"/>
      </w:pPr>
      <w:rPr>
        <w:rFonts w:hint="default"/>
      </w:rPr>
    </w:lvl>
  </w:abstractNum>
  <w:abstractNum w:abstractNumId="11" w15:restartNumberingAfterBreak="0">
    <w:nsid w:val="23831224"/>
    <w:multiLevelType w:val="hybridMultilevel"/>
    <w:tmpl w:val="69DCAA96"/>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2" w15:restartNumberingAfterBreak="0">
    <w:nsid w:val="263911F7"/>
    <w:multiLevelType w:val="hybridMultilevel"/>
    <w:tmpl w:val="CBE224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75525DF"/>
    <w:multiLevelType w:val="hybridMultilevel"/>
    <w:tmpl w:val="4802C2D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C2553C1"/>
    <w:multiLevelType w:val="hybridMultilevel"/>
    <w:tmpl w:val="DF58B62A"/>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5" w15:restartNumberingAfterBreak="0">
    <w:nsid w:val="2E274866"/>
    <w:multiLevelType w:val="hybridMultilevel"/>
    <w:tmpl w:val="83DAE55C"/>
    <w:lvl w:ilvl="0" w:tplc="08090005">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6" w15:restartNumberingAfterBreak="0">
    <w:nsid w:val="348B6CF9"/>
    <w:multiLevelType w:val="hybridMultilevel"/>
    <w:tmpl w:val="521A3D5C"/>
    <w:lvl w:ilvl="0" w:tplc="0426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34A432F5"/>
    <w:multiLevelType w:val="hybridMultilevel"/>
    <w:tmpl w:val="E8689E52"/>
    <w:lvl w:ilvl="0" w:tplc="2A205264">
      <w:numFmt w:val="bullet"/>
      <w:pStyle w:val="ListParagraph"/>
      <w:lvlText w:val=""/>
      <w:lvlJc w:val="left"/>
      <w:pPr>
        <w:ind w:left="720" w:hanging="360"/>
      </w:pPr>
      <w:rPr>
        <w:rFonts w:ascii="Symbol" w:eastAsiaTheme="minorEastAsia" w:hAnsi="Symbol" w:cstheme="minorBidi"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8" w15:restartNumberingAfterBreak="0">
    <w:nsid w:val="35C50010"/>
    <w:multiLevelType w:val="multilevel"/>
    <w:tmpl w:val="43325BB6"/>
    <w:lvl w:ilvl="0">
      <w:start w:val="7"/>
      <w:numFmt w:val="decimal"/>
      <w:lvlText w:val="%1"/>
      <w:lvlJc w:val="left"/>
      <w:pPr>
        <w:ind w:left="540" w:hanging="540"/>
      </w:pPr>
      <w:rPr>
        <w:rFonts w:hint="default"/>
      </w:rPr>
    </w:lvl>
    <w:lvl w:ilvl="1">
      <w:start w:val="3"/>
      <w:numFmt w:val="decimal"/>
      <w:lvlText w:val="%1.%2"/>
      <w:lvlJc w:val="left"/>
      <w:pPr>
        <w:ind w:left="1162" w:hanging="720"/>
      </w:pPr>
      <w:rPr>
        <w:rFonts w:hint="default"/>
      </w:rPr>
    </w:lvl>
    <w:lvl w:ilvl="2">
      <w:start w:val="1"/>
      <w:numFmt w:val="decimal"/>
      <w:lvlText w:val="%1.%2.%3"/>
      <w:lvlJc w:val="left"/>
      <w:pPr>
        <w:ind w:left="1604" w:hanging="720"/>
      </w:pPr>
      <w:rPr>
        <w:rFonts w:hint="default"/>
      </w:rPr>
    </w:lvl>
    <w:lvl w:ilvl="3">
      <w:start w:val="1"/>
      <w:numFmt w:val="decimal"/>
      <w:lvlText w:val="%1.%2.%3.%4"/>
      <w:lvlJc w:val="left"/>
      <w:pPr>
        <w:ind w:left="2406" w:hanging="1080"/>
      </w:pPr>
      <w:rPr>
        <w:rFonts w:hint="default"/>
      </w:rPr>
    </w:lvl>
    <w:lvl w:ilvl="4">
      <w:start w:val="1"/>
      <w:numFmt w:val="decimal"/>
      <w:lvlText w:val="%1.%2.%3.%4.%5"/>
      <w:lvlJc w:val="left"/>
      <w:pPr>
        <w:ind w:left="3208" w:hanging="1440"/>
      </w:pPr>
      <w:rPr>
        <w:rFonts w:hint="default"/>
      </w:rPr>
    </w:lvl>
    <w:lvl w:ilvl="5">
      <w:start w:val="1"/>
      <w:numFmt w:val="decimal"/>
      <w:lvlText w:val="%1.%2.%3.%4.%5.%6"/>
      <w:lvlJc w:val="left"/>
      <w:pPr>
        <w:ind w:left="3650" w:hanging="1440"/>
      </w:pPr>
      <w:rPr>
        <w:rFonts w:hint="default"/>
      </w:rPr>
    </w:lvl>
    <w:lvl w:ilvl="6">
      <w:start w:val="1"/>
      <w:numFmt w:val="decimal"/>
      <w:lvlText w:val="%1.%2.%3.%4.%5.%6.%7"/>
      <w:lvlJc w:val="left"/>
      <w:pPr>
        <w:ind w:left="4452" w:hanging="1800"/>
      </w:pPr>
      <w:rPr>
        <w:rFonts w:hint="default"/>
      </w:rPr>
    </w:lvl>
    <w:lvl w:ilvl="7">
      <w:start w:val="1"/>
      <w:numFmt w:val="decimal"/>
      <w:lvlText w:val="%1.%2.%3.%4.%5.%6.%7.%8"/>
      <w:lvlJc w:val="left"/>
      <w:pPr>
        <w:ind w:left="4894" w:hanging="1800"/>
      </w:pPr>
      <w:rPr>
        <w:rFonts w:hint="default"/>
      </w:rPr>
    </w:lvl>
    <w:lvl w:ilvl="8">
      <w:start w:val="1"/>
      <w:numFmt w:val="decimal"/>
      <w:lvlText w:val="%1.%2.%3.%4.%5.%6.%7.%8.%9"/>
      <w:lvlJc w:val="left"/>
      <w:pPr>
        <w:ind w:left="5696" w:hanging="2160"/>
      </w:pPr>
      <w:rPr>
        <w:rFonts w:hint="default"/>
      </w:rPr>
    </w:lvl>
  </w:abstractNum>
  <w:abstractNum w:abstractNumId="19" w15:restartNumberingAfterBreak="0">
    <w:nsid w:val="38ED1288"/>
    <w:multiLevelType w:val="hybridMultilevel"/>
    <w:tmpl w:val="5D82D63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3D466F26"/>
    <w:multiLevelType w:val="hybridMultilevel"/>
    <w:tmpl w:val="B64405FA"/>
    <w:lvl w:ilvl="0" w:tplc="4192F0CC">
      <w:start w:val="1"/>
      <w:numFmt w:val="bullet"/>
      <w:pStyle w:val="BulletsF"/>
      <w:lvlText w:val=""/>
      <w:lvlJc w:val="left"/>
      <w:pPr>
        <w:ind w:left="360" w:hanging="360"/>
      </w:pPr>
      <w:rPr>
        <w:rFonts w:ascii="Symbol" w:hAnsi="Symbol" w:hint="default"/>
        <w:color w:val="5B9BD5" w:themeColor="accent1"/>
      </w:rPr>
    </w:lvl>
    <w:lvl w:ilvl="1" w:tplc="86866714">
      <w:start w:val="1"/>
      <w:numFmt w:val="bullet"/>
      <w:pStyle w:val="2LBulletsF"/>
      <w:lvlText w:val="o"/>
      <w:lvlJc w:val="left"/>
      <w:pPr>
        <w:ind w:left="1440" w:hanging="360"/>
      </w:pPr>
      <w:rPr>
        <w:rFonts w:ascii="Courier New" w:hAnsi="Courier New" w:cs="Courier New" w:hint="default"/>
      </w:rPr>
    </w:lvl>
    <w:lvl w:ilvl="2" w:tplc="84D445C6">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EC3090F"/>
    <w:multiLevelType w:val="multilevel"/>
    <w:tmpl w:val="5BBE16E8"/>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25D2FA4"/>
    <w:multiLevelType w:val="hybridMultilevel"/>
    <w:tmpl w:val="DCE01488"/>
    <w:lvl w:ilvl="0" w:tplc="04090001">
      <w:start w:val="1"/>
      <w:numFmt w:val="bullet"/>
      <w:lvlText w:val=""/>
      <w:lvlJc w:val="left"/>
      <w:pPr>
        <w:ind w:left="770" w:hanging="360"/>
      </w:pPr>
      <w:rPr>
        <w:rFonts w:ascii="Symbol" w:hAnsi="Symbol" w:hint="default"/>
      </w:rPr>
    </w:lvl>
    <w:lvl w:ilvl="1" w:tplc="04090003">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23" w15:restartNumberingAfterBreak="0">
    <w:nsid w:val="4622535D"/>
    <w:multiLevelType w:val="hybridMultilevel"/>
    <w:tmpl w:val="96F2563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49DF33FD"/>
    <w:multiLevelType w:val="hybridMultilevel"/>
    <w:tmpl w:val="4F62BE14"/>
    <w:lvl w:ilvl="0" w:tplc="A92A3B3A">
      <w:start w:val="1"/>
      <w:numFmt w:val="bullet"/>
      <w:lvlText w:val="•"/>
      <w:lvlJc w:val="left"/>
      <w:pPr>
        <w:tabs>
          <w:tab w:val="num" w:pos="720"/>
        </w:tabs>
        <w:ind w:left="720" w:hanging="360"/>
      </w:pPr>
      <w:rPr>
        <w:rFonts w:ascii="Times New Roman" w:hAnsi="Times New Roman" w:hint="default"/>
      </w:rPr>
    </w:lvl>
    <w:lvl w:ilvl="1" w:tplc="94BC53EA" w:tentative="1">
      <w:start w:val="1"/>
      <w:numFmt w:val="bullet"/>
      <w:lvlText w:val="•"/>
      <w:lvlJc w:val="left"/>
      <w:pPr>
        <w:tabs>
          <w:tab w:val="num" w:pos="1440"/>
        </w:tabs>
        <w:ind w:left="1440" w:hanging="360"/>
      </w:pPr>
      <w:rPr>
        <w:rFonts w:ascii="Times New Roman" w:hAnsi="Times New Roman" w:hint="default"/>
      </w:rPr>
    </w:lvl>
    <w:lvl w:ilvl="2" w:tplc="ACE43736" w:tentative="1">
      <w:start w:val="1"/>
      <w:numFmt w:val="bullet"/>
      <w:lvlText w:val="•"/>
      <w:lvlJc w:val="left"/>
      <w:pPr>
        <w:tabs>
          <w:tab w:val="num" w:pos="2160"/>
        </w:tabs>
        <w:ind w:left="2160" w:hanging="360"/>
      </w:pPr>
      <w:rPr>
        <w:rFonts w:ascii="Times New Roman" w:hAnsi="Times New Roman" w:hint="default"/>
      </w:rPr>
    </w:lvl>
    <w:lvl w:ilvl="3" w:tplc="5AA27A5C" w:tentative="1">
      <w:start w:val="1"/>
      <w:numFmt w:val="bullet"/>
      <w:lvlText w:val="•"/>
      <w:lvlJc w:val="left"/>
      <w:pPr>
        <w:tabs>
          <w:tab w:val="num" w:pos="2880"/>
        </w:tabs>
        <w:ind w:left="2880" w:hanging="360"/>
      </w:pPr>
      <w:rPr>
        <w:rFonts w:ascii="Times New Roman" w:hAnsi="Times New Roman" w:hint="default"/>
      </w:rPr>
    </w:lvl>
    <w:lvl w:ilvl="4" w:tplc="87EE482A" w:tentative="1">
      <w:start w:val="1"/>
      <w:numFmt w:val="bullet"/>
      <w:lvlText w:val="•"/>
      <w:lvlJc w:val="left"/>
      <w:pPr>
        <w:tabs>
          <w:tab w:val="num" w:pos="3600"/>
        </w:tabs>
        <w:ind w:left="3600" w:hanging="360"/>
      </w:pPr>
      <w:rPr>
        <w:rFonts w:ascii="Times New Roman" w:hAnsi="Times New Roman" w:hint="default"/>
      </w:rPr>
    </w:lvl>
    <w:lvl w:ilvl="5" w:tplc="F21A8282" w:tentative="1">
      <w:start w:val="1"/>
      <w:numFmt w:val="bullet"/>
      <w:lvlText w:val="•"/>
      <w:lvlJc w:val="left"/>
      <w:pPr>
        <w:tabs>
          <w:tab w:val="num" w:pos="4320"/>
        </w:tabs>
        <w:ind w:left="4320" w:hanging="360"/>
      </w:pPr>
      <w:rPr>
        <w:rFonts w:ascii="Times New Roman" w:hAnsi="Times New Roman" w:hint="default"/>
      </w:rPr>
    </w:lvl>
    <w:lvl w:ilvl="6" w:tplc="3C981EE0" w:tentative="1">
      <w:start w:val="1"/>
      <w:numFmt w:val="bullet"/>
      <w:lvlText w:val="•"/>
      <w:lvlJc w:val="left"/>
      <w:pPr>
        <w:tabs>
          <w:tab w:val="num" w:pos="5040"/>
        </w:tabs>
        <w:ind w:left="5040" w:hanging="360"/>
      </w:pPr>
      <w:rPr>
        <w:rFonts w:ascii="Times New Roman" w:hAnsi="Times New Roman" w:hint="default"/>
      </w:rPr>
    </w:lvl>
    <w:lvl w:ilvl="7" w:tplc="CB00776E" w:tentative="1">
      <w:start w:val="1"/>
      <w:numFmt w:val="bullet"/>
      <w:lvlText w:val="•"/>
      <w:lvlJc w:val="left"/>
      <w:pPr>
        <w:tabs>
          <w:tab w:val="num" w:pos="5760"/>
        </w:tabs>
        <w:ind w:left="5760" w:hanging="360"/>
      </w:pPr>
      <w:rPr>
        <w:rFonts w:ascii="Times New Roman" w:hAnsi="Times New Roman" w:hint="default"/>
      </w:rPr>
    </w:lvl>
    <w:lvl w:ilvl="8" w:tplc="580E95FA" w:tentative="1">
      <w:start w:val="1"/>
      <w:numFmt w:val="bullet"/>
      <w:lvlText w:val="•"/>
      <w:lvlJc w:val="left"/>
      <w:pPr>
        <w:tabs>
          <w:tab w:val="num" w:pos="6480"/>
        </w:tabs>
        <w:ind w:left="6480" w:hanging="360"/>
      </w:pPr>
      <w:rPr>
        <w:rFonts w:ascii="Times New Roman" w:hAnsi="Times New Roman" w:hint="default"/>
      </w:rPr>
    </w:lvl>
  </w:abstractNum>
  <w:abstractNum w:abstractNumId="25" w15:restartNumberingAfterBreak="0">
    <w:nsid w:val="4BC21309"/>
    <w:multiLevelType w:val="hybridMultilevel"/>
    <w:tmpl w:val="FE92F5CA"/>
    <w:lvl w:ilvl="0" w:tplc="D34CC1BC">
      <w:start w:val="1"/>
      <w:numFmt w:val="bullet"/>
      <w:lvlText w:val=""/>
      <w:lvlJc w:val="left"/>
      <w:pPr>
        <w:ind w:left="1069" w:hanging="360"/>
      </w:pPr>
      <w:rPr>
        <w:rFonts w:ascii="Symbol" w:hAnsi="Symbol" w:hint="default"/>
      </w:rPr>
    </w:lvl>
    <w:lvl w:ilvl="1" w:tplc="04260003" w:tentative="1">
      <w:start w:val="1"/>
      <w:numFmt w:val="bullet"/>
      <w:lvlText w:val="o"/>
      <w:lvlJc w:val="left"/>
      <w:pPr>
        <w:ind w:left="1789" w:hanging="360"/>
      </w:pPr>
      <w:rPr>
        <w:rFonts w:ascii="Courier New" w:hAnsi="Courier New" w:cs="Courier New" w:hint="default"/>
      </w:rPr>
    </w:lvl>
    <w:lvl w:ilvl="2" w:tplc="04260005" w:tentative="1">
      <w:start w:val="1"/>
      <w:numFmt w:val="bullet"/>
      <w:lvlText w:val=""/>
      <w:lvlJc w:val="left"/>
      <w:pPr>
        <w:ind w:left="2509" w:hanging="360"/>
      </w:pPr>
      <w:rPr>
        <w:rFonts w:ascii="Wingdings" w:hAnsi="Wingdings" w:hint="default"/>
      </w:rPr>
    </w:lvl>
    <w:lvl w:ilvl="3" w:tplc="04260001" w:tentative="1">
      <w:start w:val="1"/>
      <w:numFmt w:val="bullet"/>
      <w:lvlText w:val=""/>
      <w:lvlJc w:val="left"/>
      <w:pPr>
        <w:ind w:left="3229" w:hanging="360"/>
      </w:pPr>
      <w:rPr>
        <w:rFonts w:ascii="Symbol" w:hAnsi="Symbol" w:hint="default"/>
      </w:rPr>
    </w:lvl>
    <w:lvl w:ilvl="4" w:tplc="04260003" w:tentative="1">
      <w:start w:val="1"/>
      <w:numFmt w:val="bullet"/>
      <w:lvlText w:val="o"/>
      <w:lvlJc w:val="left"/>
      <w:pPr>
        <w:ind w:left="3949" w:hanging="360"/>
      </w:pPr>
      <w:rPr>
        <w:rFonts w:ascii="Courier New" w:hAnsi="Courier New" w:cs="Courier New" w:hint="default"/>
      </w:rPr>
    </w:lvl>
    <w:lvl w:ilvl="5" w:tplc="04260005" w:tentative="1">
      <w:start w:val="1"/>
      <w:numFmt w:val="bullet"/>
      <w:lvlText w:val=""/>
      <w:lvlJc w:val="left"/>
      <w:pPr>
        <w:ind w:left="4669" w:hanging="360"/>
      </w:pPr>
      <w:rPr>
        <w:rFonts w:ascii="Wingdings" w:hAnsi="Wingdings" w:hint="default"/>
      </w:rPr>
    </w:lvl>
    <w:lvl w:ilvl="6" w:tplc="04260001" w:tentative="1">
      <w:start w:val="1"/>
      <w:numFmt w:val="bullet"/>
      <w:lvlText w:val=""/>
      <w:lvlJc w:val="left"/>
      <w:pPr>
        <w:ind w:left="5389" w:hanging="360"/>
      </w:pPr>
      <w:rPr>
        <w:rFonts w:ascii="Symbol" w:hAnsi="Symbol" w:hint="default"/>
      </w:rPr>
    </w:lvl>
    <w:lvl w:ilvl="7" w:tplc="04260003" w:tentative="1">
      <w:start w:val="1"/>
      <w:numFmt w:val="bullet"/>
      <w:lvlText w:val="o"/>
      <w:lvlJc w:val="left"/>
      <w:pPr>
        <w:ind w:left="6109" w:hanging="360"/>
      </w:pPr>
      <w:rPr>
        <w:rFonts w:ascii="Courier New" w:hAnsi="Courier New" w:cs="Courier New" w:hint="default"/>
      </w:rPr>
    </w:lvl>
    <w:lvl w:ilvl="8" w:tplc="04260005" w:tentative="1">
      <w:start w:val="1"/>
      <w:numFmt w:val="bullet"/>
      <w:lvlText w:val=""/>
      <w:lvlJc w:val="left"/>
      <w:pPr>
        <w:ind w:left="6829" w:hanging="360"/>
      </w:pPr>
      <w:rPr>
        <w:rFonts w:ascii="Wingdings" w:hAnsi="Wingdings" w:hint="default"/>
      </w:rPr>
    </w:lvl>
  </w:abstractNum>
  <w:abstractNum w:abstractNumId="26" w15:restartNumberingAfterBreak="0">
    <w:nsid w:val="4C4E1943"/>
    <w:multiLevelType w:val="hybridMultilevel"/>
    <w:tmpl w:val="B0789F4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7" w15:restartNumberingAfterBreak="0">
    <w:nsid w:val="50B14BEA"/>
    <w:multiLevelType w:val="hybridMultilevel"/>
    <w:tmpl w:val="47BA26C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8" w15:restartNumberingAfterBreak="0">
    <w:nsid w:val="50BE5AD0"/>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540629E2"/>
    <w:multiLevelType w:val="hybridMultilevel"/>
    <w:tmpl w:val="1A6891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6913A29"/>
    <w:multiLevelType w:val="hybridMultilevel"/>
    <w:tmpl w:val="EC02ABF4"/>
    <w:lvl w:ilvl="0" w:tplc="0426000B">
      <w:start w:val="1"/>
      <w:numFmt w:val="bullet"/>
      <w:lvlText w:val=""/>
      <w:lvlJc w:val="left"/>
      <w:pPr>
        <w:ind w:left="720" w:hanging="360"/>
      </w:pPr>
      <w:rPr>
        <w:rFonts w:ascii="Wingdings" w:hAnsi="Wingdings"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1" w15:restartNumberingAfterBreak="0">
    <w:nsid w:val="56A40C92"/>
    <w:multiLevelType w:val="hybridMultilevel"/>
    <w:tmpl w:val="4AD8ACFA"/>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32" w15:restartNumberingAfterBreak="0">
    <w:nsid w:val="5A8C69C6"/>
    <w:multiLevelType w:val="hybridMultilevel"/>
    <w:tmpl w:val="24121934"/>
    <w:lvl w:ilvl="0" w:tplc="08090005">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3" w15:restartNumberingAfterBreak="0">
    <w:nsid w:val="5A8C7F37"/>
    <w:multiLevelType w:val="hybridMultilevel"/>
    <w:tmpl w:val="70A60A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B59301E"/>
    <w:multiLevelType w:val="hybridMultilevel"/>
    <w:tmpl w:val="9B1C2C9C"/>
    <w:lvl w:ilvl="0" w:tplc="ABC8B386">
      <w:start w:val="1"/>
      <w:numFmt w:val="decimal"/>
      <w:lvlText w:val="%1."/>
      <w:lvlJc w:val="left"/>
      <w:pPr>
        <w:tabs>
          <w:tab w:val="num" w:pos="720"/>
        </w:tabs>
        <w:ind w:left="720" w:hanging="360"/>
      </w:pPr>
      <w:rPr>
        <w:rFonts w:asciiTheme="minorHAnsi" w:hAnsiTheme="minorHAnsi" w:cstheme="minorHAnsi" w:hint="default"/>
        <w:sz w:val="22"/>
        <w:szCs w:val="22"/>
      </w:rPr>
    </w:lvl>
    <w:lvl w:ilvl="1" w:tplc="7FF8F10A" w:tentative="1">
      <w:start w:val="1"/>
      <w:numFmt w:val="decimal"/>
      <w:lvlText w:val="%2."/>
      <w:lvlJc w:val="left"/>
      <w:pPr>
        <w:tabs>
          <w:tab w:val="num" w:pos="1440"/>
        </w:tabs>
        <w:ind w:left="1440" w:hanging="360"/>
      </w:pPr>
    </w:lvl>
    <w:lvl w:ilvl="2" w:tplc="C19AC810" w:tentative="1">
      <w:start w:val="1"/>
      <w:numFmt w:val="decimal"/>
      <w:lvlText w:val="%3."/>
      <w:lvlJc w:val="left"/>
      <w:pPr>
        <w:tabs>
          <w:tab w:val="num" w:pos="2160"/>
        </w:tabs>
        <w:ind w:left="2160" w:hanging="360"/>
      </w:pPr>
    </w:lvl>
    <w:lvl w:ilvl="3" w:tplc="C00ABB98" w:tentative="1">
      <w:start w:val="1"/>
      <w:numFmt w:val="decimal"/>
      <w:lvlText w:val="%4."/>
      <w:lvlJc w:val="left"/>
      <w:pPr>
        <w:tabs>
          <w:tab w:val="num" w:pos="2880"/>
        </w:tabs>
        <w:ind w:left="2880" w:hanging="360"/>
      </w:pPr>
    </w:lvl>
    <w:lvl w:ilvl="4" w:tplc="636E0F58" w:tentative="1">
      <w:start w:val="1"/>
      <w:numFmt w:val="decimal"/>
      <w:lvlText w:val="%5."/>
      <w:lvlJc w:val="left"/>
      <w:pPr>
        <w:tabs>
          <w:tab w:val="num" w:pos="3600"/>
        </w:tabs>
        <w:ind w:left="3600" w:hanging="360"/>
      </w:pPr>
    </w:lvl>
    <w:lvl w:ilvl="5" w:tplc="0BE24BE6" w:tentative="1">
      <w:start w:val="1"/>
      <w:numFmt w:val="decimal"/>
      <w:lvlText w:val="%6."/>
      <w:lvlJc w:val="left"/>
      <w:pPr>
        <w:tabs>
          <w:tab w:val="num" w:pos="4320"/>
        </w:tabs>
        <w:ind w:left="4320" w:hanging="360"/>
      </w:pPr>
    </w:lvl>
    <w:lvl w:ilvl="6" w:tplc="4030EF52" w:tentative="1">
      <w:start w:val="1"/>
      <w:numFmt w:val="decimal"/>
      <w:lvlText w:val="%7."/>
      <w:lvlJc w:val="left"/>
      <w:pPr>
        <w:tabs>
          <w:tab w:val="num" w:pos="5040"/>
        </w:tabs>
        <w:ind w:left="5040" w:hanging="360"/>
      </w:pPr>
    </w:lvl>
    <w:lvl w:ilvl="7" w:tplc="A1FE0788" w:tentative="1">
      <w:start w:val="1"/>
      <w:numFmt w:val="decimal"/>
      <w:lvlText w:val="%8."/>
      <w:lvlJc w:val="left"/>
      <w:pPr>
        <w:tabs>
          <w:tab w:val="num" w:pos="5760"/>
        </w:tabs>
        <w:ind w:left="5760" w:hanging="360"/>
      </w:pPr>
    </w:lvl>
    <w:lvl w:ilvl="8" w:tplc="49107A14" w:tentative="1">
      <w:start w:val="1"/>
      <w:numFmt w:val="decimal"/>
      <w:lvlText w:val="%9."/>
      <w:lvlJc w:val="left"/>
      <w:pPr>
        <w:tabs>
          <w:tab w:val="num" w:pos="6480"/>
        </w:tabs>
        <w:ind w:left="6480" w:hanging="360"/>
      </w:pPr>
    </w:lvl>
  </w:abstractNum>
  <w:abstractNum w:abstractNumId="35" w15:restartNumberingAfterBreak="0">
    <w:nsid w:val="63EE73C0"/>
    <w:multiLevelType w:val="hybridMultilevel"/>
    <w:tmpl w:val="FF865E36"/>
    <w:lvl w:ilvl="0" w:tplc="FFFFFFF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6" w15:restartNumberingAfterBreak="0">
    <w:nsid w:val="6520468A"/>
    <w:multiLevelType w:val="hybridMultilevel"/>
    <w:tmpl w:val="9B3CD6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8BC4C08"/>
    <w:multiLevelType w:val="hybridMultilevel"/>
    <w:tmpl w:val="D34A7B78"/>
    <w:lvl w:ilvl="0" w:tplc="0EC2A100">
      <w:start w:val="1"/>
      <w:numFmt w:val="bullet"/>
      <w:lvlText w:val=""/>
      <w:lvlJc w:val="left"/>
      <w:pPr>
        <w:ind w:left="2869" w:hanging="360"/>
      </w:pPr>
      <w:rPr>
        <w:rFonts w:ascii="Wingdings" w:hAnsi="Wingdings" w:hint="default"/>
      </w:rPr>
    </w:lvl>
    <w:lvl w:ilvl="1" w:tplc="04260003">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38" w15:restartNumberingAfterBreak="0">
    <w:nsid w:val="6AC1450B"/>
    <w:multiLevelType w:val="hybridMultilevel"/>
    <w:tmpl w:val="38708944"/>
    <w:lvl w:ilvl="0" w:tplc="5BCE7A6A">
      <w:start w:val="1"/>
      <w:numFmt w:val="bullet"/>
      <w:pStyle w:val="Important"/>
      <w:lvlText w:val=""/>
      <w:lvlJc w:val="left"/>
      <w:pPr>
        <w:ind w:left="1080" w:hanging="360"/>
      </w:pPr>
      <w:rPr>
        <w:rFonts w:ascii="Wingdings" w:hAnsi="Wingdings" w:hint="default"/>
        <w:b/>
        <w:i w:val="0"/>
        <w:color w:val="auto"/>
        <w:sz w:val="32"/>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39" w15:restartNumberingAfterBreak="0">
    <w:nsid w:val="6BA20645"/>
    <w:multiLevelType w:val="hybridMultilevel"/>
    <w:tmpl w:val="FF865E36"/>
    <w:lvl w:ilvl="0" w:tplc="FFFFFFF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40" w15:restartNumberingAfterBreak="0">
    <w:nsid w:val="6D680CA1"/>
    <w:multiLevelType w:val="multilevel"/>
    <w:tmpl w:val="39CEEA56"/>
    <w:lvl w:ilvl="0">
      <w:start w:val="1"/>
      <w:numFmt w:val="decimal"/>
      <w:pStyle w:val="Heading1"/>
      <w:lvlText w:val="%1."/>
      <w:lvlJc w:val="left"/>
      <w:pPr>
        <w:ind w:left="431" w:hanging="431"/>
      </w:pPr>
      <w:rPr>
        <w:rFonts w:hint="default"/>
      </w:rPr>
    </w:lvl>
    <w:lvl w:ilvl="1">
      <w:start w:val="1"/>
      <w:numFmt w:val="decimal"/>
      <w:pStyle w:val="Heading2"/>
      <w:lvlText w:val="%1.%2."/>
      <w:lvlJc w:val="left"/>
      <w:pPr>
        <w:ind w:left="431" w:hanging="431"/>
      </w:pPr>
      <w:rPr>
        <w:rFonts w:hint="default"/>
      </w:rPr>
    </w:lvl>
    <w:lvl w:ilvl="2">
      <w:start w:val="1"/>
      <w:numFmt w:val="decimal"/>
      <w:lvlRestart w:val="0"/>
      <w:pStyle w:val="Heading3"/>
      <w:lvlText w:val="%1.%2.%3."/>
      <w:lvlJc w:val="left"/>
      <w:pPr>
        <w:ind w:left="885" w:hanging="431"/>
      </w:pPr>
      <w:rPr>
        <w:rFonts w:hint="default"/>
      </w:rPr>
    </w:lvl>
    <w:lvl w:ilvl="3">
      <w:start w:val="1"/>
      <w:numFmt w:val="decimal"/>
      <w:lvlText w:val="%1.%2.%3.%4."/>
      <w:lvlJc w:val="left"/>
      <w:pPr>
        <w:ind w:left="1112" w:hanging="431"/>
      </w:pPr>
      <w:rPr>
        <w:rFonts w:hint="default"/>
      </w:rPr>
    </w:lvl>
    <w:lvl w:ilvl="4">
      <w:start w:val="1"/>
      <w:numFmt w:val="decimal"/>
      <w:lvlText w:val="%1.%2.%3.%4.%5."/>
      <w:lvlJc w:val="left"/>
      <w:pPr>
        <w:ind w:left="1339" w:hanging="431"/>
      </w:pPr>
      <w:rPr>
        <w:rFonts w:hint="default"/>
      </w:rPr>
    </w:lvl>
    <w:lvl w:ilvl="5">
      <w:start w:val="1"/>
      <w:numFmt w:val="decimal"/>
      <w:pStyle w:val="Heading6"/>
      <w:lvlText w:val="%1.%2.%3.%4.%5.%6"/>
      <w:lvlJc w:val="left"/>
      <w:pPr>
        <w:ind w:left="1566" w:hanging="431"/>
      </w:pPr>
      <w:rPr>
        <w:rFonts w:hint="default"/>
      </w:rPr>
    </w:lvl>
    <w:lvl w:ilvl="6">
      <w:start w:val="1"/>
      <w:numFmt w:val="decimal"/>
      <w:pStyle w:val="Heading7"/>
      <w:lvlText w:val="%1.%2.%3.%4.%5.%6.%7"/>
      <w:lvlJc w:val="left"/>
      <w:pPr>
        <w:ind w:left="1793" w:hanging="431"/>
      </w:pPr>
      <w:rPr>
        <w:rFonts w:hint="default"/>
      </w:rPr>
    </w:lvl>
    <w:lvl w:ilvl="7">
      <w:start w:val="1"/>
      <w:numFmt w:val="decimal"/>
      <w:pStyle w:val="Heading8"/>
      <w:lvlText w:val="%1.%2.%3.%4.%5.%6.%7.%8"/>
      <w:lvlJc w:val="left"/>
      <w:pPr>
        <w:ind w:left="2020" w:hanging="431"/>
      </w:pPr>
      <w:rPr>
        <w:rFonts w:hint="default"/>
      </w:rPr>
    </w:lvl>
    <w:lvl w:ilvl="8">
      <w:start w:val="1"/>
      <w:numFmt w:val="decimal"/>
      <w:pStyle w:val="Heading9"/>
      <w:lvlText w:val="%1.%2.%3.%4.%5.%6.%7.%8.%9"/>
      <w:lvlJc w:val="left"/>
      <w:pPr>
        <w:ind w:left="2247" w:hanging="431"/>
      </w:pPr>
      <w:rPr>
        <w:rFonts w:hint="default"/>
      </w:rPr>
    </w:lvl>
  </w:abstractNum>
  <w:abstractNum w:abstractNumId="41" w15:restartNumberingAfterBreak="0">
    <w:nsid w:val="783B3E9B"/>
    <w:multiLevelType w:val="hybridMultilevel"/>
    <w:tmpl w:val="32AC70CC"/>
    <w:lvl w:ilvl="0" w:tplc="AEC080FA">
      <w:start w:val="1"/>
      <w:numFmt w:val="bullet"/>
      <w:lvlText w:val=""/>
      <w:lvlJc w:val="left"/>
      <w:pPr>
        <w:ind w:left="1004" w:hanging="360"/>
      </w:pPr>
      <w:rPr>
        <w:rFonts w:ascii="Symbol" w:hAnsi="Symbol" w:hint="default"/>
        <w:color w:val="5B9BD5" w:themeColor="accent1"/>
      </w:rPr>
    </w:lvl>
    <w:lvl w:ilvl="1" w:tplc="08090003">
      <w:start w:val="1"/>
      <w:numFmt w:val="bullet"/>
      <w:lvlText w:val="o"/>
      <w:lvlJc w:val="left"/>
      <w:pPr>
        <w:ind w:left="1724" w:hanging="360"/>
      </w:pPr>
      <w:rPr>
        <w:rFonts w:ascii="Courier New" w:hAnsi="Courier New" w:cs="Courier New" w:hint="default"/>
      </w:rPr>
    </w:lvl>
    <w:lvl w:ilvl="2" w:tplc="08090005">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42" w15:restartNumberingAfterBreak="0">
    <w:nsid w:val="7D987D53"/>
    <w:multiLevelType w:val="hybridMultilevel"/>
    <w:tmpl w:val="FF865E36"/>
    <w:lvl w:ilvl="0" w:tplc="0409000F">
      <w:start w:val="1"/>
      <w:numFmt w:val="decimal"/>
      <w:lvlText w:val="%1."/>
      <w:lvlJc w:val="left"/>
      <w:pPr>
        <w:ind w:left="720" w:hanging="360"/>
      </w:pPr>
      <w:rPr>
        <w:rFonts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43" w15:restartNumberingAfterBreak="0">
    <w:nsid w:val="7E264E42"/>
    <w:multiLevelType w:val="hybridMultilevel"/>
    <w:tmpl w:val="5ABAFAAC"/>
    <w:lvl w:ilvl="0" w:tplc="80B2C050">
      <w:start w:val="1"/>
      <w:numFmt w:val="bullet"/>
      <w:lvlText w:val=""/>
      <w:lvlJc w:val="left"/>
      <w:pPr>
        <w:tabs>
          <w:tab w:val="num" w:pos="720"/>
        </w:tabs>
        <w:ind w:left="720" w:hanging="360"/>
      </w:pPr>
      <w:rPr>
        <w:rFonts w:ascii="Wingdings" w:hAnsi="Wingdings" w:hint="default"/>
      </w:rPr>
    </w:lvl>
    <w:lvl w:ilvl="1" w:tplc="5E7C17F2">
      <w:start w:val="1"/>
      <w:numFmt w:val="bullet"/>
      <w:lvlText w:val=""/>
      <w:lvlJc w:val="left"/>
      <w:pPr>
        <w:tabs>
          <w:tab w:val="num" w:pos="1440"/>
        </w:tabs>
        <w:ind w:left="1440" w:hanging="360"/>
      </w:pPr>
      <w:rPr>
        <w:rFonts w:ascii="Wingdings" w:hAnsi="Wingdings" w:hint="default"/>
      </w:rPr>
    </w:lvl>
    <w:lvl w:ilvl="2" w:tplc="E79CD08A">
      <w:start w:val="1"/>
      <w:numFmt w:val="bullet"/>
      <w:lvlText w:val=""/>
      <w:lvlJc w:val="left"/>
      <w:pPr>
        <w:tabs>
          <w:tab w:val="num" w:pos="2160"/>
        </w:tabs>
        <w:ind w:left="2160" w:hanging="360"/>
      </w:pPr>
      <w:rPr>
        <w:rFonts w:ascii="Wingdings" w:hAnsi="Wingdings" w:hint="default"/>
      </w:rPr>
    </w:lvl>
    <w:lvl w:ilvl="3" w:tplc="D1FC2B3C">
      <w:start w:val="1"/>
      <w:numFmt w:val="bullet"/>
      <w:lvlText w:val=""/>
      <w:lvlJc w:val="left"/>
      <w:pPr>
        <w:tabs>
          <w:tab w:val="num" w:pos="2880"/>
        </w:tabs>
        <w:ind w:left="2880" w:hanging="360"/>
      </w:pPr>
      <w:rPr>
        <w:rFonts w:ascii="Wingdings" w:hAnsi="Wingdings" w:hint="default"/>
      </w:rPr>
    </w:lvl>
    <w:lvl w:ilvl="4" w:tplc="294A6DF0">
      <w:start w:val="1"/>
      <w:numFmt w:val="bullet"/>
      <w:lvlText w:val=""/>
      <w:lvlJc w:val="left"/>
      <w:pPr>
        <w:tabs>
          <w:tab w:val="num" w:pos="3600"/>
        </w:tabs>
        <w:ind w:left="3600" w:hanging="360"/>
      </w:pPr>
      <w:rPr>
        <w:rFonts w:ascii="Wingdings" w:hAnsi="Wingdings" w:hint="default"/>
      </w:rPr>
    </w:lvl>
    <w:lvl w:ilvl="5" w:tplc="0FC6A552">
      <w:start w:val="1"/>
      <w:numFmt w:val="bullet"/>
      <w:lvlText w:val=""/>
      <w:lvlJc w:val="left"/>
      <w:pPr>
        <w:tabs>
          <w:tab w:val="num" w:pos="4320"/>
        </w:tabs>
        <w:ind w:left="4320" w:hanging="360"/>
      </w:pPr>
      <w:rPr>
        <w:rFonts w:ascii="Wingdings" w:hAnsi="Wingdings" w:hint="default"/>
      </w:rPr>
    </w:lvl>
    <w:lvl w:ilvl="6" w:tplc="EB3A8DAA">
      <w:start w:val="1"/>
      <w:numFmt w:val="bullet"/>
      <w:lvlText w:val=""/>
      <w:lvlJc w:val="left"/>
      <w:pPr>
        <w:tabs>
          <w:tab w:val="num" w:pos="5040"/>
        </w:tabs>
        <w:ind w:left="5040" w:hanging="360"/>
      </w:pPr>
      <w:rPr>
        <w:rFonts w:ascii="Wingdings" w:hAnsi="Wingdings" w:hint="default"/>
      </w:rPr>
    </w:lvl>
    <w:lvl w:ilvl="7" w:tplc="2D70738E">
      <w:start w:val="1"/>
      <w:numFmt w:val="bullet"/>
      <w:lvlText w:val=""/>
      <w:lvlJc w:val="left"/>
      <w:pPr>
        <w:tabs>
          <w:tab w:val="num" w:pos="5760"/>
        </w:tabs>
        <w:ind w:left="5760" w:hanging="360"/>
      </w:pPr>
      <w:rPr>
        <w:rFonts w:ascii="Wingdings" w:hAnsi="Wingdings" w:hint="default"/>
      </w:rPr>
    </w:lvl>
    <w:lvl w:ilvl="8" w:tplc="A0D8FF8A">
      <w:start w:val="1"/>
      <w:numFmt w:val="bullet"/>
      <w:lvlText w:val=""/>
      <w:lvlJc w:val="left"/>
      <w:pPr>
        <w:tabs>
          <w:tab w:val="num" w:pos="6480"/>
        </w:tabs>
        <w:ind w:left="6480" w:hanging="360"/>
      </w:pPr>
      <w:rPr>
        <w:rFonts w:ascii="Wingdings" w:hAnsi="Wingdings" w:hint="default"/>
      </w:rPr>
    </w:lvl>
  </w:abstractNum>
  <w:num w:numId="1" w16cid:durableId="521865033">
    <w:abstractNumId w:val="9"/>
  </w:num>
  <w:num w:numId="2" w16cid:durableId="1427576721">
    <w:abstractNumId w:val="38"/>
  </w:num>
  <w:num w:numId="3" w16cid:durableId="1031998251">
    <w:abstractNumId w:val="20"/>
  </w:num>
  <w:num w:numId="4" w16cid:durableId="561987331">
    <w:abstractNumId w:val="17"/>
  </w:num>
  <w:num w:numId="5" w16cid:durableId="1605116448">
    <w:abstractNumId w:val="0"/>
  </w:num>
  <w:num w:numId="6" w16cid:durableId="1785927097">
    <w:abstractNumId w:val="40"/>
  </w:num>
  <w:num w:numId="7" w16cid:durableId="608515677">
    <w:abstractNumId w:val="10"/>
  </w:num>
  <w:num w:numId="8" w16cid:durableId="1689791460">
    <w:abstractNumId w:val="26"/>
  </w:num>
  <w:num w:numId="9" w16cid:durableId="39477426">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42586823">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76012782">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392042270">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369578462">
    <w:abstractNumId w:val="28"/>
  </w:num>
  <w:num w:numId="14" w16cid:durableId="599459544">
    <w:abstractNumId w:val="8"/>
  </w:num>
  <w:num w:numId="15" w16cid:durableId="1890144661">
    <w:abstractNumId w:val="2"/>
  </w:num>
  <w:num w:numId="16" w16cid:durableId="726496150">
    <w:abstractNumId w:val="41"/>
  </w:num>
  <w:num w:numId="17" w16cid:durableId="1829514740">
    <w:abstractNumId w:val="24"/>
  </w:num>
  <w:num w:numId="18" w16cid:durableId="929242613">
    <w:abstractNumId w:val="25"/>
  </w:num>
  <w:num w:numId="19" w16cid:durableId="1415130625">
    <w:abstractNumId w:val="21"/>
  </w:num>
  <w:num w:numId="20" w16cid:durableId="801070192">
    <w:abstractNumId w:val="4"/>
  </w:num>
  <w:num w:numId="21" w16cid:durableId="1088650857">
    <w:abstractNumId w:val="42"/>
  </w:num>
  <w:num w:numId="22" w16cid:durableId="1305356663">
    <w:abstractNumId w:val="34"/>
  </w:num>
  <w:num w:numId="23" w16cid:durableId="670641541">
    <w:abstractNumId w:val="15"/>
  </w:num>
  <w:num w:numId="24" w16cid:durableId="1361395629">
    <w:abstractNumId w:val="3"/>
  </w:num>
  <w:num w:numId="25" w16cid:durableId="1352224193">
    <w:abstractNumId w:val="32"/>
  </w:num>
  <w:num w:numId="26" w16cid:durableId="374428452">
    <w:abstractNumId w:val="43"/>
  </w:num>
  <w:num w:numId="27" w16cid:durableId="757561307">
    <w:abstractNumId w:val="17"/>
  </w:num>
  <w:num w:numId="28" w16cid:durableId="1450079990">
    <w:abstractNumId w:val="20"/>
  </w:num>
  <w:num w:numId="29" w16cid:durableId="426267228">
    <w:abstractNumId w:val="37"/>
  </w:num>
  <w:num w:numId="30" w16cid:durableId="1289820280">
    <w:abstractNumId w:val="23"/>
  </w:num>
  <w:num w:numId="31" w16cid:durableId="452985189">
    <w:abstractNumId w:val="7"/>
  </w:num>
  <w:num w:numId="32" w16cid:durableId="606886390">
    <w:abstractNumId w:val="27"/>
  </w:num>
  <w:num w:numId="33" w16cid:durableId="1514996996">
    <w:abstractNumId w:val="16"/>
  </w:num>
  <w:num w:numId="34" w16cid:durableId="206569796">
    <w:abstractNumId w:val="40"/>
    <w:lvlOverride w:ilvl="0">
      <w:startOverride w:val="7"/>
    </w:lvlOverride>
    <w:lvlOverride w:ilvl="1">
      <w:startOverride w:val="1"/>
    </w:lvlOverride>
    <w:lvlOverride w:ilvl="2">
      <w:startOverride w:val="1"/>
    </w:lvlOverride>
  </w:num>
  <w:num w:numId="35" w16cid:durableId="247424367">
    <w:abstractNumId w:val="12"/>
  </w:num>
  <w:num w:numId="36" w16cid:durableId="385841432">
    <w:abstractNumId w:val="30"/>
  </w:num>
  <w:num w:numId="37" w16cid:durableId="952633667">
    <w:abstractNumId w:val="29"/>
  </w:num>
  <w:num w:numId="38" w16cid:durableId="303658299">
    <w:abstractNumId w:val="6"/>
  </w:num>
  <w:num w:numId="39" w16cid:durableId="579102173">
    <w:abstractNumId w:val="33"/>
  </w:num>
  <w:num w:numId="40" w16cid:durableId="801730625">
    <w:abstractNumId w:val="18"/>
  </w:num>
  <w:num w:numId="41" w16cid:durableId="1605504232">
    <w:abstractNumId w:val="40"/>
  </w:num>
  <w:num w:numId="42" w16cid:durableId="2134516378">
    <w:abstractNumId w:val="13"/>
  </w:num>
  <w:num w:numId="43" w16cid:durableId="409695472">
    <w:abstractNumId w:val="31"/>
  </w:num>
  <w:num w:numId="44" w16cid:durableId="1865243148">
    <w:abstractNumId w:val="19"/>
  </w:num>
  <w:num w:numId="45" w16cid:durableId="1649937780">
    <w:abstractNumId w:val="35"/>
  </w:num>
  <w:num w:numId="46" w16cid:durableId="971668727">
    <w:abstractNumId w:val="39"/>
  </w:num>
  <w:num w:numId="47" w16cid:durableId="480004031">
    <w:abstractNumId w:val="11"/>
  </w:num>
  <w:num w:numId="48" w16cid:durableId="1491797343">
    <w:abstractNumId w:val="5"/>
  </w:num>
  <w:num w:numId="49" w16cid:durableId="1283417200">
    <w:abstractNumId w:val="14"/>
  </w:num>
  <w:num w:numId="50" w16cid:durableId="1468413">
    <w:abstractNumId w:val="1"/>
  </w:num>
  <w:num w:numId="51" w16cid:durableId="292443248">
    <w:abstractNumId w:val="36"/>
  </w:num>
  <w:num w:numId="52" w16cid:durableId="546726015">
    <w:abstractNumId w:val="22"/>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1432"/>
    <w:rsid w:val="00000BF4"/>
    <w:rsid w:val="00000F3B"/>
    <w:rsid w:val="00001259"/>
    <w:rsid w:val="00001E57"/>
    <w:rsid w:val="00002503"/>
    <w:rsid w:val="00002AC1"/>
    <w:rsid w:val="00003200"/>
    <w:rsid w:val="00003C03"/>
    <w:rsid w:val="000048ED"/>
    <w:rsid w:val="00004E39"/>
    <w:rsid w:val="00005343"/>
    <w:rsid w:val="000056D5"/>
    <w:rsid w:val="0000617D"/>
    <w:rsid w:val="00007449"/>
    <w:rsid w:val="00007E6A"/>
    <w:rsid w:val="00010835"/>
    <w:rsid w:val="000118D1"/>
    <w:rsid w:val="00011A78"/>
    <w:rsid w:val="00011BFE"/>
    <w:rsid w:val="00013AD7"/>
    <w:rsid w:val="0001518E"/>
    <w:rsid w:val="00016075"/>
    <w:rsid w:val="00022D61"/>
    <w:rsid w:val="00023DD2"/>
    <w:rsid w:val="000240B9"/>
    <w:rsid w:val="00025B71"/>
    <w:rsid w:val="0002711B"/>
    <w:rsid w:val="00030DE2"/>
    <w:rsid w:val="0003194A"/>
    <w:rsid w:val="00031EFA"/>
    <w:rsid w:val="00032AA2"/>
    <w:rsid w:val="00033C3E"/>
    <w:rsid w:val="00034400"/>
    <w:rsid w:val="00034569"/>
    <w:rsid w:val="000352F3"/>
    <w:rsid w:val="000358A5"/>
    <w:rsid w:val="000361F4"/>
    <w:rsid w:val="00036385"/>
    <w:rsid w:val="000371F6"/>
    <w:rsid w:val="00037914"/>
    <w:rsid w:val="00040A8A"/>
    <w:rsid w:val="00042BF6"/>
    <w:rsid w:val="00043274"/>
    <w:rsid w:val="00043962"/>
    <w:rsid w:val="00043E55"/>
    <w:rsid w:val="00044863"/>
    <w:rsid w:val="0004633C"/>
    <w:rsid w:val="000467F2"/>
    <w:rsid w:val="00046C2D"/>
    <w:rsid w:val="0004746E"/>
    <w:rsid w:val="000504EC"/>
    <w:rsid w:val="00051796"/>
    <w:rsid w:val="00051819"/>
    <w:rsid w:val="00051FB8"/>
    <w:rsid w:val="00052337"/>
    <w:rsid w:val="00052EC4"/>
    <w:rsid w:val="000530E4"/>
    <w:rsid w:val="00054067"/>
    <w:rsid w:val="000541DF"/>
    <w:rsid w:val="000550DB"/>
    <w:rsid w:val="0005511E"/>
    <w:rsid w:val="000553C6"/>
    <w:rsid w:val="00055438"/>
    <w:rsid w:val="000554E5"/>
    <w:rsid w:val="000555B3"/>
    <w:rsid w:val="00055C76"/>
    <w:rsid w:val="00056DE7"/>
    <w:rsid w:val="00061A25"/>
    <w:rsid w:val="00061CF2"/>
    <w:rsid w:val="00062E02"/>
    <w:rsid w:val="00062FB9"/>
    <w:rsid w:val="00063AF2"/>
    <w:rsid w:val="00063B1D"/>
    <w:rsid w:val="000651C7"/>
    <w:rsid w:val="00065438"/>
    <w:rsid w:val="00065628"/>
    <w:rsid w:val="000658CE"/>
    <w:rsid w:val="000661F8"/>
    <w:rsid w:val="00067FEC"/>
    <w:rsid w:val="00070875"/>
    <w:rsid w:val="0007103E"/>
    <w:rsid w:val="000719BF"/>
    <w:rsid w:val="000721D8"/>
    <w:rsid w:val="000729A8"/>
    <w:rsid w:val="00072C23"/>
    <w:rsid w:val="00073FBE"/>
    <w:rsid w:val="00074D75"/>
    <w:rsid w:val="00074FAC"/>
    <w:rsid w:val="00075C73"/>
    <w:rsid w:val="00075CCB"/>
    <w:rsid w:val="00075E16"/>
    <w:rsid w:val="00075E55"/>
    <w:rsid w:val="00076A0E"/>
    <w:rsid w:val="00076ADA"/>
    <w:rsid w:val="00077176"/>
    <w:rsid w:val="00077BE7"/>
    <w:rsid w:val="000803EE"/>
    <w:rsid w:val="00080DF2"/>
    <w:rsid w:val="00080E1D"/>
    <w:rsid w:val="00080E2A"/>
    <w:rsid w:val="000814DD"/>
    <w:rsid w:val="00081A21"/>
    <w:rsid w:val="00082E61"/>
    <w:rsid w:val="00083C6A"/>
    <w:rsid w:val="0008413B"/>
    <w:rsid w:val="00086950"/>
    <w:rsid w:val="00087519"/>
    <w:rsid w:val="00087FF7"/>
    <w:rsid w:val="0009218B"/>
    <w:rsid w:val="000924E1"/>
    <w:rsid w:val="00092854"/>
    <w:rsid w:val="0009446D"/>
    <w:rsid w:val="00095612"/>
    <w:rsid w:val="0009562A"/>
    <w:rsid w:val="00096231"/>
    <w:rsid w:val="00096965"/>
    <w:rsid w:val="00096F42"/>
    <w:rsid w:val="00097602"/>
    <w:rsid w:val="0009779E"/>
    <w:rsid w:val="000A0F86"/>
    <w:rsid w:val="000A1556"/>
    <w:rsid w:val="000A1B84"/>
    <w:rsid w:val="000A1D96"/>
    <w:rsid w:val="000A23D6"/>
    <w:rsid w:val="000A3375"/>
    <w:rsid w:val="000A4685"/>
    <w:rsid w:val="000A68F7"/>
    <w:rsid w:val="000A6D3A"/>
    <w:rsid w:val="000A6FCE"/>
    <w:rsid w:val="000A711F"/>
    <w:rsid w:val="000A7876"/>
    <w:rsid w:val="000B13B2"/>
    <w:rsid w:val="000B2921"/>
    <w:rsid w:val="000B2A60"/>
    <w:rsid w:val="000B3370"/>
    <w:rsid w:val="000B3C35"/>
    <w:rsid w:val="000B46D2"/>
    <w:rsid w:val="000B4C4C"/>
    <w:rsid w:val="000B4D85"/>
    <w:rsid w:val="000B523F"/>
    <w:rsid w:val="000B5BBE"/>
    <w:rsid w:val="000B68A9"/>
    <w:rsid w:val="000B7447"/>
    <w:rsid w:val="000B7586"/>
    <w:rsid w:val="000B7850"/>
    <w:rsid w:val="000C04EB"/>
    <w:rsid w:val="000C0A18"/>
    <w:rsid w:val="000C138F"/>
    <w:rsid w:val="000C2457"/>
    <w:rsid w:val="000C29BE"/>
    <w:rsid w:val="000C3065"/>
    <w:rsid w:val="000C384C"/>
    <w:rsid w:val="000C3A38"/>
    <w:rsid w:val="000C4F24"/>
    <w:rsid w:val="000C56E8"/>
    <w:rsid w:val="000C5E7A"/>
    <w:rsid w:val="000C6AE2"/>
    <w:rsid w:val="000C6B85"/>
    <w:rsid w:val="000C6F55"/>
    <w:rsid w:val="000C7B6B"/>
    <w:rsid w:val="000D05DB"/>
    <w:rsid w:val="000D0DDF"/>
    <w:rsid w:val="000D2147"/>
    <w:rsid w:val="000D2212"/>
    <w:rsid w:val="000D29DC"/>
    <w:rsid w:val="000D31ED"/>
    <w:rsid w:val="000D4035"/>
    <w:rsid w:val="000D4D2A"/>
    <w:rsid w:val="000D603C"/>
    <w:rsid w:val="000D6046"/>
    <w:rsid w:val="000D6D44"/>
    <w:rsid w:val="000D6E1A"/>
    <w:rsid w:val="000D6EED"/>
    <w:rsid w:val="000D73C7"/>
    <w:rsid w:val="000D76FD"/>
    <w:rsid w:val="000E23F6"/>
    <w:rsid w:val="000E2C32"/>
    <w:rsid w:val="000E2E22"/>
    <w:rsid w:val="000E2F1A"/>
    <w:rsid w:val="000E510D"/>
    <w:rsid w:val="000E5B20"/>
    <w:rsid w:val="000E6377"/>
    <w:rsid w:val="000E6D5D"/>
    <w:rsid w:val="000E719F"/>
    <w:rsid w:val="000E758A"/>
    <w:rsid w:val="000F034A"/>
    <w:rsid w:val="000F0C48"/>
    <w:rsid w:val="000F0CCA"/>
    <w:rsid w:val="000F18FB"/>
    <w:rsid w:val="000F1E29"/>
    <w:rsid w:val="000F24AA"/>
    <w:rsid w:val="000F2DF0"/>
    <w:rsid w:val="000F32BC"/>
    <w:rsid w:val="000F42BF"/>
    <w:rsid w:val="000F5FFA"/>
    <w:rsid w:val="000F60A6"/>
    <w:rsid w:val="000F6D02"/>
    <w:rsid w:val="000F786D"/>
    <w:rsid w:val="00100716"/>
    <w:rsid w:val="00100866"/>
    <w:rsid w:val="00100A2B"/>
    <w:rsid w:val="00100B8A"/>
    <w:rsid w:val="001029B4"/>
    <w:rsid w:val="00102F82"/>
    <w:rsid w:val="001035B5"/>
    <w:rsid w:val="001038F7"/>
    <w:rsid w:val="0010421A"/>
    <w:rsid w:val="0010534C"/>
    <w:rsid w:val="00105DA0"/>
    <w:rsid w:val="0010693E"/>
    <w:rsid w:val="00107935"/>
    <w:rsid w:val="0010793B"/>
    <w:rsid w:val="00110164"/>
    <w:rsid w:val="00111B1F"/>
    <w:rsid w:val="001134DC"/>
    <w:rsid w:val="00113683"/>
    <w:rsid w:val="001136FA"/>
    <w:rsid w:val="00113E95"/>
    <w:rsid w:val="00114EB2"/>
    <w:rsid w:val="00115797"/>
    <w:rsid w:val="001167D5"/>
    <w:rsid w:val="00117AA0"/>
    <w:rsid w:val="00117F00"/>
    <w:rsid w:val="0012051D"/>
    <w:rsid w:val="001209C7"/>
    <w:rsid w:val="00120F91"/>
    <w:rsid w:val="001218F5"/>
    <w:rsid w:val="00121F40"/>
    <w:rsid w:val="00122556"/>
    <w:rsid w:val="00122BB3"/>
    <w:rsid w:val="0012420A"/>
    <w:rsid w:val="00126F33"/>
    <w:rsid w:val="00127E0A"/>
    <w:rsid w:val="0013021F"/>
    <w:rsid w:val="00130BAE"/>
    <w:rsid w:val="00132309"/>
    <w:rsid w:val="00132AA1"/>
    <w:rsid w:val="00132D63"/>
    <w:rsid w:val="001337CE"/>
    <w:rsid w:val="00133E26"/>
    <w:rsid w:val="001364A2"/>
    <w:rsid w:val="00136573"/>
    <w:rsid w:val="0013697E"/>
    <w:rsid w:val="00136A30"/>
    <w:rsid w:val="00136A44"/>
    <w:rsid w:val="00141B19"/>
    <w:rsid w:val="00141D9F"/>
    <w:rsid w:val="00142833"/>
    <w:rsid w:val="00142B8F"/>
    <w:rsid w:val="00144295"/>
    <w:rsid w:val="0014455F"/>
    <w:rsid w:val="001445CD"/>
    <w:rsid w:val="001447B1"/>
    <w:rsid w:val="001458FF"/>
    <w:rsid w:val="00145F28"/>
    <w:rsid w:val="00146A41"/>
    <w:rsid w:val="00147DC8"/>
    <w:rsid w:val="00150D96"/>
    <w:rsid w:val="00151AD0"/>
    <w:rsid w:val="00151AD3"/>
    <w:rsid w:val="00151D3D"/>
    <w:rsid w:val="00152734"/>
    <w:rsid w:val="00154FCB"/>
    <w:rsid w:val="0015512B"/>
    <w:rsid w:val="00155295"/>
    <w:rsid w:val="00155DDA"/>
    <w:rsid w:val="00156331"/>
    <w:rsid w:val="001569DA"/>
    <w:rsid w:val="0015740A"/>
    <w:rsid w:val="00161AB7"/>
    <w:rsid w:val="00162221"/>
    <w:rsid w:val="00162A8E"/>
    <w:rsid w:val="001632A9"/>
    <w:rsid w:val="00163A38"/>
    <w:rsid w:val="00163C0A"/>
    <w:rsid w:val="0016427E"/>
    <w:rsid w:val="001642A5"/>
    <w:rsid w:val="00164A22"/>
    <w:rsid w:val="00165521"/>
    <w:rsid w:val="00165B7F"/>
    <w:rsid w:val="00166122"/>
    <w:rsid w:val="0016659D"/>
    <w:rsid w:val="00166705"/>
    <w:rsid w:val="001677FB"/>
    <w:rsid w:val="00167A19"/>
    <w:rsid w:val="0017046A"/>
    <w:rsid w:val="001704E7"/>
    <w:rsid w:val="00171397"/>
    <w:rsid w:val="00171EBB"/>
    <w:rsid w:val="001725DE"/>
    <w:rsid w:val="00172BBE"/>
    <w:rsid w:val="00173011"/>
    <w:rsid w:val="0017323B"/>
    <w:rsid w:val="00173FBB"/>
    <w:rsid w:val="001749F5"/>
    <w:rsid w:val="0017629A"/>
    <w:rsid w:val="00176786"/>
    <w:rsid w:val="001771E1"/>
    <w:rsid w:val="00177C72"/>
    <w:rsid w:val="001806CA"/>
    <w:rsid w:val="00180FA1"/>
    <w:rsid w:val="001826F6"/>
    <w:rsid w:val="001836CF"/>
    <w:rsid w:val="001842B9"/>
    <w:rsid w:val="00184373"/>
    <w:rsid w:val="0018449C"/>
    <w:rsid w:val="00185A03"/>
    <w:rsid w:val="00185D0C"/>
    <w:rsid w:val="00191035"/>
    <w:rsid w:val="0019112E"/>
    <w:rsid w:val="0019139C"/>
    <w:rsid w:val="0019146B"/>
    <w:rsid w:val="00191D2E"/>
    <w:rsid w:val="00191D5B"/>
    <w:rsid w:val="00192104"/>
    <w:rsid w:val="001921C8"/>
    <w:rsid w:val="001928AD"/>
    <w:rsid w:val="00192AB6"/>
    <w:rsid w:val="00192B1C"/>
    <w:rsid w:val="00192E33"/>
    <w:rsid w:val="0019397C"/>
    <w:rsid w:val="001940BB"/>
    <w:rsid w:val="00194B3A"/>
    <w:rsid w:val="0019529E"/>
    <w:rsid w:val="001958BE"/>
    <w:rsid w:val="00195A6F"/>
    <w:rsid w:val="001967EE"/>
    <w:rsid w:val="00197F49"/>
    <w:rsid w:val="001A0F22"/>
    <w:rsid w:val="001A268F"/>
    <w:rsid w:val="001A3F63"/>
    <w:rsid w:val="001A4847"/>
    <w:rsid w:val="001A49A2"/>
    <w:rsid w:val="001A4D2B"/>
    <w:rsid w:val="001A5144"/>
    <w:rsid w:val="001A73F7"/>
    <w:rsid w:val="001A77FB"/>
    <w:rsid w:val="001B05EA"/>
    <w:rsid w:val="001B1287"/>
    <w:rsid w:val="001B12D6"/>
    <w:rsid w:val="001B17FC"/>
    <w:rsid w:val="001B191E"/>
    <w:rsid w:val="001B1AB8"/>
    <w:rsid w:val="001B2CD4"/>
    <w:rsid w:val="001B352A"/>
    <w:rsid w:val="001B3A65"/>
    <w:rsid w:val="001B3FDB"/>
    <w:rsid w:val="001B430D"/>
    <w:rsid w:val="001B4334"/>
    <w:rsid w:val="001B565F"/>
    <w:rsid w:val="001B5A7C"/>
    <w:rsid w:val="001B5DE9"/>
    <w:rsid w:val="001B6126"/>
    <w:rsid w:val="001B642A"/>
    <w:rsid w:val="001B663D"/>
    <w:rsid w:val="001B6D09"/>
    <w:rsid w:val="001B701F"/>
    <w:rsid w:val="001B74F7"/>
    <w:rsid w:val="001C0207"/>
    <w:rsid w:val="001C0EBD"/>
    <w:rsid w:val="001C0FFF"/>
    <w:rsid w:val="001C181C"/>
    <w:rsid w:val="001C1C14"/>
    <w:rsid w:val="001C20BE"/>
    <w:rsid w:val="001C2A46"/>
    <w:rsid w:val="001C3483"/>
    <w:rsid w:val="001C3808"/>
    <w:rsid w:val="001C4004"/>
    <w:rsid w:val="001C42A6"/>
    <w:rsid w:val="001C436D"/>
    <w:rsid w:val="001C58A3"/>
    <w:rsid w:val="001C604B"/>
    <w:rsid w:val="001C60A8"/>
    <w:rsid w:val="001C7116"/>
    <w:rsid w:val="001D135C"/>
    <w:rsid w:val="001D1926"/>
    <w:rsid w:val="001D2900"/>
    <w:rsid w:val="001D2E14"/>
    <w:rsid w:val="001D31DC"/>
    <w:rsid w:val="001D3650"/>
    <w:rsid w:val="001D37F3"/>
    <w:rsid w:val="001D4990"/>
    <w:rsid w:val="001D504D"/>
    <w:rsid w:val="001D5098"/>
    <w:rsid w:val="001D6258"/>
    <w:rsid w:val="001D6FF6"/>
    <w:rsid w:val="001D7095"/>
    <w:rsid w:val="001D71C4"/>
    <w:rsid w:val="001D7228"/>
    <w:rsid w:val="001D748C"/>
    <w:rsid w:val="001D7729"/>
    <w:rsid w:val="001E096D"/>
    <w:rsid w:val="001E12F5"/>
    <w:rsid w:val="001E1965"/>
    <w:rsid w:val="001E2AEC"/>
    <w:rsid w:val="001E46C6"/>
    <w:rsid w:val="001E5CD3"/>
    <w:rsid w:val="001E5F3B"/>
    <w:rsid w:val="001E6227"/>
    <w:rsid w:val="001F0A88"/>
    <w:rsid w:val="001F1C0E"/>
    <w:rsid w:val="001F2157"/>
    <w:rsid w:val="001F2679"/>
    <w:rsid w:val="001F2EFE"/>
    <w:rsid w:val="001F3FC5"/>
    <w:rsid w:val="001F5411"/>
    <w:rsid w:val="001F6AA9"/>
    <w:rsid w:val="001F6D3D"/>
    <w:rsid w:val="001F7CDA"/>
    <w:rsid w:val="002009CF"/>
    <w:rsid w:val="00201E6B"/>
    <w:rsid w:val="002029EE"/>
    <w:rsid w:val="002041CA"/>
    <w:rsid w:val="00205940"/>
    <w:rsid w:val="00206CEA"/>
    <w:rsid w:val="00206F4F"/>
    <w:rsid w:val="00207B97"/>
    <w:rsid w:val="00210B4B"/>
    <w:rsid w:val="00210D45"/>
    <w:rsid w:val="00211019"/>
    <w:rsid w:val="002114B3"/>
    <w:rsid w:val="0021279E"/>
    <w:rsid w:val="00212ADF"/>
    <w:rsid w:val="002135A5"/>
    <w:rsid w:val="00213692"/>
    <w:rsid w:val="00216E55"/>
    <w:rsid w:val="00217187"/>
    <w:rsid w:val="00217A69"/>
    <w:rsid w:val="00220AB8"/>
    <w:rsid w:val="00221096"/>
    <w:rsid w:val="00221277"/>
    <w:rsid w:val="00221796"/>
    <w:rsid w:val="00222240"/>
    <w:rsid w:val="00222886"/>
    <w:rsid w:val="0022324C"/>
    <w:rsid w:val="002233C8"/>
    <w:rsid w:val="0022415D"/>
    <w:rsid w:val="002243EB"/>
    <w:rsid w:val="002245AA"/>
    <w:rsid w:val="00224BDD"/>
    <w:rsid w:val="002258A2"/>
    <w:rsid w:val="00225F11"/>
    <w:rsid w:val="00227768"/>
    <w:rsid w:val="00227CD5"/>
    <w:rsid w:val="00227F12"/>
    <w:rsid w:val="00230053"/>
    <w:rsid w:val="0023005C"/>
    <w:rsid w:val="002307E7"/>
    <w:rsid w:val="002308F9"/>
    <w:rsid w:val="002319D2"/>
    <w:rsid w:val="00231A31"/>
    <w:rsid w:val="00231CD8"/>
    <w:rsid w:val="00231F0F"/>
    <w:rsid w:val="002321F8"/>
    <w:rsid w:val="00232881"/>
    <w:rsid w:val="00233298"/>
    <w:rsid w:val="00233570"/>
    <w:rsid w:val="00233CAC"/>
    <w:rsid w:val="00234DA6"/>
    <w:rsid w:val="00235370"/>
    <w:rsid w:val="00235CC8"/>
    <w:rsid w:val="00236185"/>
    <w:rsid w:val="00236ED3"/>
    <w:rsid w:val="00240E7D"/>
    <w:rsid w:val="002417E6"/>
    <w:rsid w:val="002417EB"/>
    <w:rsid w:val="00242934"/>
    <w:rsid w:val="00243E57"/>
    <w:rsid w:val="00244B8B"/>
    <w:rsid w:val="002455FE"/>
    <w:rsid w:val="002462F4"/>
    <w:rsid w:val="00246C16"/>
    <w:rsid w:val="002477AB"/>
    <w:rsid w:val="00250273"/>
    <w:rsid w:val="0025294F"/>
    <w:rsid w:val="00252A22"/>
    <w:rsid w:val="00252A63"/>
    <w:rsid w:val="00252D4B"/>
    <w:rsid w:val="0025316B"/>
    <w:rsid w:val="002547F8"/>
    <w:rsid w:val="00254948"/>
    <w:rsid w:val="002559DD"/>
    <w:rsid w:val="00255BAE"/>
    <w:rsid w:val="00255CC9"/>
    <w:rsid w:val="0025762B"/>
    <w:rsid w:val="00260208"/>
    <w:rsid w:val="00261202"/>
    <w:rsid w:val="00262773"/>
    <w:rsid w:val="002627E1"/>
    <w:rsid w:val="00262847"/>
    <w:rsid w:val="002632DF"/>
    <w:rsid w:val="002637F6"/>
    <w:rsid w:val="002639D7"/>
    <w:rsid w:val="00263BB1"/>
    <w:rsid w:val="0026450E"/>
    <w:rsid w:val="00264A8E"/>
    <w:rsid w:val="00265057"/>
    <w:rsid w:val="002652DB"/>
    <w:rsid w:val="00265578"/>
    <w:rsid w:val="00265CBA"/>
    <w:rsid w:val="00266303"/>
    <w:rsid w:val="002672E5"/>
    <w:rsid w:val="00267CE7"/>
    <w:rsid w:val="002707BA"/>
    <w:rsid w:val="00270A63"/>
    <w:rsid w:val="0027132F"/>
    <w:rsid w:val="002718A0"/>
    <w:rsid w:val="002718CB"/>
    <w:rsid w:val="00272896"/>
    <w:rsid w:val="002732A6"/>
    <w:rsid w:val="0027338A"/>
    <w:rsid w:val="0027353A"/>
    <w:rsid w:val="00273688"/>
    <w:rsid w:val="00273764"/>
    <w:rsid w:val="00273F1E"/>
    <w:rsid w:val="00274EFF"/>
    <w:rsid w:val="00274FA1"/>
    <w:rsid w:val="0027564B"/>
    <w:rsid w:val="00275824"/>
    <w:rsid w:val="002767E7"/>
    <w:rsid w:val="00276CB7"/>
    <w:rsid w:val="0027725E"/>
    <w:rsid w:val="0027729D"/>
    <w:rsid w:val="00277891"/>
    <w:rsid w:val="002779EC"/>
    <w:rsid w:val="00280084"/>
    <w:rsid w:val="00280937"/>
    <w:rsid w:val="00280F53"/>
    <w:rsid w:val="00282860"/>
    <w:rsid w:val="002831F3"/>
    <w:rsid w:val="002846D5"/>
    <w:rsid w:val="00284C11"/>
    <w:rsid w:val="00285584"/>
    <w:rsid w:val="00285A91"/>
    <w:rsid w:val="0028667B"/>
    <w:rsid w:val="002868FF"/>
    <w:rsid w:val="00286A40"/>
    <w:rsid w:val="00287A8D"/>
    <w:rsid w:val="002900C0"/>
    <w:rsid w:val="00291575"/>
    <w:rsid w:val="00292A98"/>
    <w:rsid w:val="00292D3D"/>
    <w:rsid w:val="00293184"/>
    <w:rsid w:val="002940D9"/>
    <w:rsid w:val="002946C8"/>
    <w:rsid w:val="002949D0"/>
    <w:rsid w:val="00294E08"/>
    <w:rsid w:val="00295497"/>
    <w:rsid w:val="00296427"/>
    <w:rsid w:val="00296CB0"/>
    <w:rsid w:val="0029753A"/>
    <w:rsid w:val="00297EF0"/>
    <w:rsid w:val="002A0523"/>
    <w:rsid w:val="002A0B7E"/>
    <w:rsid w:val="002A0F40"/>
    <w:rsid w:val="002A1D09"/>
    <w:rsid w:val="002A2D17"/>
    <w:rsid w:val="002A3CAC"/>
    <w:rsid w:val="002A4079"/>
    <w:rsid w:val="002A441E"/>
    <w:rsid w:val="002A441F"/>
    <w:rsid w:val="002A4CC8"/>
    <w:rsid w:val="002A4E57"/>
    <w:rsid w:val="002A6ADF"/>
    <w:rsid w:val="002A7690"/>
    <w:rsid w:val="002A7816"/>
    <w:rsid w:val="002A7E2D"/>
    <w:rsid w:val="002B18A3"/>
    <w:rsid w:val="002B19AB"/>
    <w:rsid w:val="002B251F"/>
    <w:rsid w:val="002B2AB0"/>
    <w:rsid w:val="002B3701"/>
    <w:rsid w:val="002B3B23"/>
    <w:rsid w:val="002B4359"/>
    <w:rsid w:val="002B5E0D"/>
    <w:rsid w:val="002B60B8"/>
    <w:rsid w:val="002B6255"/>
    <w:rsid w:val="002B660C"/>
    <w:rsid w:val="002B6623"/>
    <w:rsid w:val="002B707F"/>
    <w:rsid w:val="002B7A24"/>
    <w:rsid w:val="002B7D18"/>
    <w:rsid w:val="002C090A"/>
    <w:rsid w:val="002C125B"/>
    <w:rsid w:val="002C1471"/>
    <w:rsid w:val="002C17F3"/>
    <w:rsid w:val="002C18F3"/>
    <w:rsid w:val="002C1C6C"/>
    <w:rsid w:val="002C23D8"/>
    <w:rsid w:val="002C275F"/>
    <w:rsid w:val="002C2908"/>
    <w:rsid w:val="002C2C86"/>
    <w:rsid w:val="002C2FC6"/>
    <w:rsid w:val="002C370F"/>
    <w:rsid w:val="002C400F"/>
    <w:rsid w:val="002C40D7"/>
    <w:rsid w:val="002C5AF5"/>
    <w:rsid w:val="002C6C2F"/>
    <w:rsid w:val="002C6CBC"/>
    <w:rsid w:val="002C732B"/>
    <w:rsid w:val="002C73D8"/>
    <w:rsid w:val="002C7408"/>
    <w:rsid w:val="002C7558"/>
    <w:rsid w:val="002C7AFE"/>
    <w:rsid w:val="002C7E78"/>
    <w:rsid w:val="002C7FCB"/>
    <w:rsid w:val="002D0DC9"/>
    <w:rsid w:val="002D11EA"/>
    <w:rsid w:val="002D12AA"/>
    <w:rsid w:val="002D2F83"/>
    <w:rsid w:val="002D337B"/>
    <w:rsid w:val="002D3B98"/>
    <w:rsid w:val="002D544C"/>
    <w:rsid w:val="002D60EE"/>
    <w:rsid w:val="002D63B6"/>
    <w:rsid w:val="002D788B"/>
    <w:rsid w:val="002D7EB2"/>
    <w:rsid w:val="002D7FC0"/>
    <w:rsid w:val="002E03A5"/>
    <w:rsid w:val="002E0428"/>
    <w:rsid w:val="002E18A1"/>
    <w:rsid w:val="002E1B63"/>
    <w:rsid w:val="002E2BC8"/>
    <w:rsid w:val="002E2C5A"/>
    <w:rsid w:val="002E2DC7"/>
    <w:rsid w:val="002E4BE4"/>
    <w:rsid w:val="002E54B4"/>
    <w:rsid w:val="002E5656"/>
    <w:rsid w:val="002E581D"/>
    <w:rsid w:val="002E5A67"/>
    <w:rsid w:val="002E6306"/>
    <w:rsid w:val="002E683D"/>
    <w:rsid w:val="002E73A9"/>
    <w:rsid w:val="002E78FB"/>
    <w:rsid w:val="002F03DF"/>
    <w:rsid w:val="002F1843"/>
    <w:rsid w:val="002F1A7B"/>
    <w:rsid w:val="002F29F3"/>
    <w:rsid w:val="002F349C"/>
    <w:rsid w:val="002F36E5"/>
    <w:rsid w:val="002F3C0D"/>
    <w:rsid w:val="002F44C7"/>
    <w:rsid w:val="002F44D3"/>
    <w:rsid w:val="002F4B94"/>
    <w:rsid w:val="002F4C74"/>
    <w:rsid w:val="002F4D32"/>
    <w:rsid w:val="002F6CEB"/>
    <w:rsid w:val="002F7ADA"/>
    <w:rsid w:val="002F7EC6"/>
    <w:rsid w:val="00301015"/>
    <w:rsid w:val="00301AA3"/>
    <w:rsid w:val="00302098"/>
    <w:rsid w:val="003034F1"/>
    <w:rsid w:val="003038BB"/>
    <w:rsid w:val="00303D4E"/>
    <w:rsid w:val="00303EB2"/>
    <w:rsid w:val="00304261"/>
    <w:rsid w:val="003045A8"/>
    <w:rsid w:val="00304DED"/>
    <w:rsid w:val="00306C78"/>
    <w:rsid w:val="00307932"/>
    <w:rsid w:val="00307A9D"/>
    <w:rsid w:val="003101C0"/>
    <w:rsid w:val="00310813"/>
    <w:rsid w:val="00310B55"/>
    <w:rsid w:val="00311634"/>
    <w:rsid w:val="003118F6"/>
    <w:rsid w:val="00311B8E"/>
    <w:rsid w:val="00311BC4"/>
    <w:rsid w:val="00312C12"/>
    <w:rsid w:val="003136B0"/>
    <w:rsid w:val="00313AB6"/>
    <w:rsid w:val="00313CA2"/>
    <w:rsid w:val="00314270"/>
    <w:rsid w:val="003151EF"/>
    <w:rsid w:val="0031542C"/>
    <w:rsid w:val="00315772"/>
    <w:rsid w:val="003169EC"/>
    <w:rsid w:val="00317495"/>
    <w:rsid w:val="00317961"/>
    <w:rsid w:val="0032029A"/>
    <w:rsid w:val="0032160F"/>
    <w:rsid w:val="003236DD"/>
    <w:rsid w:val="003239C6"/>
    <w:rsid w:val="00323A05"/>
    <w:rsid w:val="00323A7B"/>
    <w:rsid w:val="00325918"/>
    <w:rsid w:val="003262E1"/>
    <w:rsid w:val="00327204"/>
    <w:rsid w:val="00330835"/>
    <w:rsid w:val="00330B01"/>
    <w:rsid w:val="00330B6C"/>
    <w:rsid w:val="00330F15"/>
    <w:rsid w:val="003334F7"/>
    <w:rsid w:val="00333736"/>
    <w:rsid w:val="00333B55"/>
    <w:rsid w:val="00334885"/>
    <w:rsid w:val="0033503F"/>
    <w:rsid w:val="0033595C"/>
    <w:rsid w:val="0033691F"/>
    <w:rsid w:val="00336D55"/>
    <w:rsid w:val="0033741D"/>
    <w:rsid w:val="00341024"/>
    <w:rsid w:val="0034219E"/>
    <w:rsid w:val="0034231A"/>
    <w:rsid w:val="003438EE"/>
    <w:rsid w:val="00344DB1"/>
    <w:rsid w:val="00346048"/>
    <w:rsid w:val="003468E5"/>
    <w:rsid w:val="00351D46"/>
    <w:rsid w:val="0035297D"/>
    <w:rsid w:val="00352C36"/>
    <w:rsid w:val="00352E44"/>
    <w:rsid w:val="0035351D"/>
    <w:rsid w:val="00353A89"/>
    <w:rsid w:val="00355194"/>
    <w:rsid w:val="0035520A"/>
    <w:rsid w:val="00355F3D"/>
    <w:rsid w:val="0035617E"/>
    <w:rsid w:val="0035661B"/>
    <w:rsid w:val="00356C39"/>
    <w:rsid w:val="00357AF7"/>
    <w:rsid w:val="00357D65"/>
    <w:rsid w:val="00360AB3"/>
    <w:rsid w:val="00362C78"/>
    <w:rsid w:val="00363273"/>
    <w:rsid w:val="003633DC"/>
    <w:rsid w:val="00363ADE"/>
    <w:rsid w:val="00363FF4"/>
    <w:rsid w:val="00364438"/>
    <w:rsid w:val="0036599C"/>
    <w:rsid w:val="00365DB6"/>
    <w:rsid w:val="00366380"/>
    <w:rsid w:val="00366F2F"/>
    <w:rsid w:val="003672CF"/>
    <w:rsid w:val="00367BBB"/>
    <w:rsid w:val="00370A2B"/>
    <w:rsid w:val="00370A8B"/>
    <w:rsid w:val="00372359"/>
    <w:rsid w:val="00372624"/>
    <w:rsid w:val="003735BA"/>
    <w:rsid w:val="00374729"/>
    <w:rsid w:val="00375D98"/>
    <w:rsid w:val="003806C4"/>
    <w:rsid w:val="00382120"/>
    <w:rsid w:val="00382C3D"/>
    <w:rsid w:val="00382DA4"/>
    <w:rsid w:val="0038432D"/>
    <w:rsid w:val="003845D2"/>
    <w:rsid w:val="00385794"/>
    <w:rsid w:val="00386515"/>
    <w:rsid w:val="00386646"/>
    <w:rsid w:val="00386A94"/>
    <w:rsid w:val="0038731D"/>
    <w:rsid w:val="003905C9"/>
    <w:rsid w:val="00390C8E"/>
    <w:rsid w:val="00392CDF"/>
    <w:rsid w:val="00392D69"/>
    <w:rsid w:val="0039358F"/>
    <w:rsid w:val="00394334"/>
    <w:rsid w:val="00394A70"/>
    <w:rsid w:val="0039602D"/>
    <w:rsid w:val="0039640D"/>
    <w:rsid w:val="003A0FF3"/>
    <w:rsid w:val="003A12AB"/>
    <w:rsid w:val="003A17AE"/>
    <w:rsid w:val="003A511D"/>
    <w:rsid w:val="003A5353"/>
    <w:rsid w:val="003A551E"/>
    <w:rsid w:val="003A5D09"/>
    <w:rsid w:val="003A6154"/>
    <w:rsid w:val="003A6681"/>
    <w:rsid w:val="003A7662"/>
    <w:rsid w:val="003A7AE8"/>
    <w:rsid w:val="003B066D"/>
    <w:rsid w:val="003B0670"/>
    <w:rsid w:val="003B0735"/>
    <w:rsid w:val="003B0E02"/>
    <w:rsid w:val="003B4C50"/>
    <w:rsid w:val="003B4F3F"/>
    <w:rsid w:val="003B5193"/>
    <w:rsid w:val="003B533E"/>
    <w:rsid w:val="003B55CF"/>
    <w:rsid w:val="003B62A8"/>
    <w:rsid w:val="003B649F"/>
    <w:rsid w:val="003B74E4"/>
    <w:rsid w:val="003B7804"/>
    <w:rsid w:val="003C1508"/>
    <w:rsid w:val="003C1878"/>
    <w:rsid w:val="003C225B"/>
    <w:rsid w:val="003C297B"/>
    <w:rsid w:val="003C31C9"/>
    <w:rsid w:val="003C3E93"/>
    <w:rsid w:val="003C3F4A"/>
    <w:rsid w:val="003C56BE"/>
    <w:rsid w:val="003C6BDC"/>
    <w:rsid w:val="003C7F86"/>
    <w:rsid w:val="003D02E0"/>
    <w:rsid w:val="003D0814"/>
    <w:rsid w:val="003D09D7"/>
    <w:rsid w:val="003D0E39"/>
    <w:rsid w:val="003D2366"/>
    <w:rsid w:val="003D24E6"/>
    <w:rsid w:val="003D306A"/>
    <w:rsid w:val="003D4EA2"/>
    <w:rsid w:val="003D4FD3"/>
    <w:rsid w:val="003D52EE"/>
    <w:rsid w:val="003D54CA"/>
    <w:rsid w:val="003D575A"/>
    <w:rsid w:val="003D5838"/>
    <w:rsid w:val="003D5B0B"/>
    <w:rsid w:val="003D6540"/>
    <w:rsid w:val="003D6696"/>
    <w:rsid w:val="003D7434"/>
    <w:rsid w:val="003D76EA"/>
    <w:rsid w:val="003E0789"/>
    <w:rsid w:val="003E1DCF"/>
    <w:rsid w:val="003E5321"/>
    <w:rsid w:val="003E54B0"/>
    <w:rsid w:val="003E6801"/>
    <w:rsid w:val="003E6AC2"/>
    <w:rsid w:val="003E6B9A"/>
    <w:rsid w:val="003E6FB7"/>
    <w:rsid w:val="003E7569"/>
    <w:rsid w:val="003E7E51"/>
    <w:rsid w:val="003F4466"/>
    <w:rsid w:val="003F4C1E"/>
    <w:rsid w:val="003F4C2F"/>
    <w:rsid w:val="003F55F3"/>
    <w:rsid w:val="003F6D4E"/>
    <w:rsid w:val="003F7276"/>
    <w:rsid w:val="0040088A"/>
    <w:rsid w:val="00401432"/>
    <w:rsid w:val="0040154E"/>
    <w:rsid w:val="004024FB"/>
    <w:rsid w:val="00402E55"/>
    <w:rsid w:val="00403BA7"/>
    <w:rsid w:val="004040A8"/>
    <w:rsid w:val="004045E7"/>
    <w:rsid w:val="00404B33"/>
    <w:rsid w:val="00404C73"/>
    <w:rsid w:val="00405678"/>
    <w:rsid w:val="004058AA"/>
    <w:rsid w:val="004064B9"/>
    <w:rsid w:val="00407CFD"/>
    <w:rsid w:val="00407F63"/>
    <w:rsid w:val="004101B3"/>
    <w:rsid w:val="00412622"/>
    <w:rsid w:val="0041276A"/>
    <w:rsid w:val="00413365"/>
    <w:rsid w:val="0041360F"/>
    <w:rsid w:val="00413932"/>
    <w:rsid w:val="0041445E"/>
    <w:rsid w:val="00415E54"/>
    <w:rsid w:val="0041619B"/>
    <w:rsid w:val="00420BBD"/>
    <w:rsid w:val="0042388E"/>
    <w:rsid w:val="00423F49"/>
    <w:rsid w:val="00423FB2"/>
    <w:rsid w:val="004253CB"/>
    <w:rsid w:val="00425983"/>
    <w:rsid w:val="00425E68"/>
    <w:rsid w:val="00427873"/>
    <w:rsid w:val="00427990"/>
    <w:rsid w:val="00430E26"/>
    <w:rsid w:val="00432E58"/>
    <w:rsid w:val="00432F4F"/>
    <w:rsid w:val="004332D7"/>
    <w:rsid w:val="00433472"/>
    <w:rsid w:val="0043373E"/>
    <w:rsid w:val="00433CD8"/>
    <w:rsid w:val="00434650"/>
    <w:rsid w:val="00434997"/>
    <w:rsid w:val="00434B46"/>
    <w:rsid w:val="00434CEB"/>
    <w:rsid w:val="00435616"/>
    <w:rsid w:val="00435762"/>
    <w:rsid w:val="00435A9D"/>
    <w:rsid w:val="00435EBC"/>
    <w:rsid w:val="00436947"/>
    <w:rsid w:val="004379F8"/>
    <w:rsid w:val="004400E3"/>
    <w:rsid w:val="00440224"/>
    <w:rsid w:val="00440D06"/>
    <w:rsid w:val="00441136"/>
    <w:rsid w:val="0044211B"/>
    <w:rsid w:val="0044293F"/>
    <w:rsid w:val="00442EB9"/>
    <w:rsid w:val="00443020"/>
    <w:rsid w:val="00443A85"/>
    <w:rsid w:val="004449D8"/>
    <w:rsid w:val="00444F84"/>
    <w:rsid w:val="00445AD8"/>
    <w:rsid w:val="004465F8"/>
    <w:rsid w:val="00446E1C"/>
    <w:rsid w:val="0045043C"/>
    <w:rsid w:val="00450C19"/>
    <w:rsid w:val="004512C9"/>
    <w:rsid w:val="0045150E"/>
    <w:rsid w:val="00451B9D"/>
    <w:rsid w:val="00452E76"/>
    <w:rsid w:val="00453C04"/>
    <w:rsid w:val="00453DCA"/>
    <w:rsid w:val="00456233"/>
    <w:rsid w:val="00457BBF"/>
    <w:rsid w:val="00457CCA"/>
    <w:rsid w:val="004607A6"/>
    <w:rsid w:val="00460EBA"/>
    <w:rsid w:val="00461488"/>
    <w:rsid w:val="0046174A"/>
    <w:rsid w:val="00462004"/>
    <w:rsid w:val="00462130"/>
    <w:rsid w:val="00462F5B"/>
    <w:rsid w:val="004644E6"/>
    <w:rsid w:val="00464DE2"/>
    <w:rsid w:val="0046548A"/>
    <w:rsid w:val="004657B6"/>
    <w:rsid w:val="004658C4"/>
    <w:rsid w:val="004668A0"/>
    <w:rsid w:val="0046696D"/>
    <w:rsid w:val="004721F5"/>
    <w:rsid w:val="0047270B"/>
    <w:rsid w:val="0047355B"/>
    <w:rsid w:val="00473AD9"/>
    <w:rsid w:val="00473DDF"/>
    <w:rsid w:val="00473E0D"/>
    <w:rsid w:val="00473F2F"/>
    <w:rsid w:val="004751AE"/>
    <w:rsid w:val="0047541C"/>
    <w:rsid w:val="004758A9"/>
    <w:rsid w:val="00475A02"/>
    <w:rsid w:val="00480E27"/>
    <w:rsid w:val="0048138E"/>
    <w:rsid w:val="004813DC"/>
    <w:rsid w:val="0048140B"/>
    <w:rsid w:val="00481482"/>
    <w:rsid w:val="00481693"/>
    <w:rsid w:val="00483205"/>
    <w:rsid w:val="00483628"/>
    <w:rsid w:val="00483C50"/>
    <w:rsid w:val="00483EB6"/>
    <w:rsid w:val="0048417D"/>
    <w:rsid w:val="0048564B"/>
    <w:rsid w:val="004857BF"/>
    <w:rsid w:val="00485917"/>
    <w:rsid w:val="00485C5D"/>
    <w:rsid w:val="004862F6"/>
    <w:rsid w:val="004878EF"/>
    <w:rsid w:val="0049004E"/>
    <w:rsid w:val="00490853"/>
    <w:rsid w:val="004909C7"/>
    <w:rsid w:val="0049213C"/>
    <w:rsid w:val="0049233C"/>
    <w:rsid w:val="00494006"/>
    <w:rsid w:val="00495737"/>
    <w:rsid w:val="004958BA"/>
    <w:rsid w:val="00495B4F"/>
    <w:rsid w:val="00496141"/>
    <w:rsid w:val="00496142"/>
    <w:rsid w:val="00496E69"/>
    <w:rsid w:val="00497883"/>
    <w:rsid w:val="004A1189"/>
    <w:rsid w:val="004A1523"/>
    <w:rsid w:val="004A1F0E"/>
    <w:rsid w:val="004A2880"/>
    <w:rsid w:val="004A2D22"/>
    <w:rsid w:val="004A3C70"/>
    <w:rsid w:val="004A3C79"/>
    <w:rsid w:val="004A4B4A"/>
    <w:rsid w:val="004A4C2F"/>
    <w:rsid w:val="004A4D98"/>
    <w:rsid w:val="004A4F20"/>
    <w:rsid w:val="004A70D7"/>
    <w:rsid w:val="004A78A9"/>
    <w:rsid w:val="004A79C3"/>
    <w:rsid w:val="004A79EE"/>
    <w:rsid w:val="004A7EA1"/>
    <w:rsid w:val="004B18FB"/>
    <w:rsid w:val="004B213D"/>
    <w:rsid w:val="004B227E"/>
    <w:rsid w:val="004B310D"/>
    <w:rsid w:val="004B3A11"/>
    <w:rsid w:val="004B3EFC"/>
    <w:rsid w:val="004B48A5"/>
    <w:rsid w:val="004B4DC1"/>
    <w:rsid w:val="004B5AA0"/>
    <w:rsid w:val="004C03BB"/>
    <w:rsid w:val="004C06D6"/>
    <w:rsid w:val="004C13A7"/>
    <w:rsid w:val="004C14D1"/>
    <w:rsid w:val="004C22B7"/>
    <w:rsid w:val="004C2794"/>
    <w:rsid w:val="004C29F7"/>
    <w:rsid w:val="004C3082"/>
    <w:rsid w:val="004C38F3"/>
    <w:rsid w:val="004C3974"/>
    <w:rsid w:val="004C3D45"/>
    <w:rsid w:val="004C431C"/>
    <w:rsid w:val="004C45F5"/>
    <w:rsid w:val="004C498F"/>
    <w:rsid w:val="004C4C6C"/>
    <w:rsid w:val="004C5C28"/>
    <w:rsid w:val="004C6321"/>
    <w:rsid w:val="004C670F"/>
    <w:rsid w:val="004C680F"/>
    <w:rsid w:val="004C786C"/>
    <w:rsid w:val="004C7E12"/>
    <w:rsid w:val="004D000C"/>
    <w:rsid w:val="004D2D61"/>
    <w:rsid w:val="004D3048"/>
    <w:rsid w:val="004D4581"/>
    <w:rsid w:val="004D45E4"/>
    <w:rsid w:val="004D4633"/>
    <w:rsid w:val="004D5A0D"/>
    <w:rsid w:val="004D7121"/>
    <w:rsid w:val="004D7139"/>
    <w:rsid w:val="004D720B"/>
    <w:rsid w:val="004E039D"/>
    <w:rsid w:val="004E0779"/>
    <w:rsid w:val="004E094E"/>
    <w:rsid w:val="004E110A"/>
    <w:rsid w:val="004E1C08"/>
    <w:rsid w:val="004E1FE7"/>
    <w:rsid w:val="004E2AF5"/>
    <w:rsid w:val="004E368B"/>
    <w:rsid w:val="004E3CEB"/>
    <w:rsid w:val="004E427D"/>
    <w:rsid w:val="004E55D1"/>
    <w:rsid w:val="004E5792"/>
    <w:rsid w:val="004E5837"/>
    <w:rsid w:val="004E58F0"/>
    <w:rsid w:val="004E5BA4"/>
    <w:rsid w:val="004E7828"/>
    <w:rsid w:val="004E795D"/>
    <w:rsid w:val="004F01CE"/>
    <w:rsid w:val="004F2908"/>
    <w:rsid w:val="004F44E8"/>
    <w:rsid w:val="004F6641"/>
    <w:rsid w:val="004F6ACC"/>
    <w:rsid w:val="004F6DF0"/>
    <w:rsid w:val="004F7307"/>
    <w:rsid w:val="004F7566"/>
    <w:rsid w:val="0050012F"/>
    <w:rsid w:val="0050014E"/>
    <w:rsid w:val="00500A58"/>
    <w:rsid w:val="005013CB"/>
    <w:rsid w:val="00501A30"/>
    <w:rsid w:val="00501AEB"/>
    <w:rsid w:val="005023CC"/>
    <w:rsid w:val="00503F58"/>
    <w:rsid w:val="00504C9B"/>
    <w:rsid w:val="00504DA2"/>
    <w:rsid w:val="00504F4E"/>
    <w:rsid w:val="00505339"/>
    <w:rsid w:val="0050663C"/>
    <w:rsid w:val="005100C1"/>
    <w:rsid w:val="005109ED"/>
    <w:rsid w:val="00511757"/>
    <w:rsid w:val="005119B8"/>
    <w:rsid w:val="00511DD2"/>
    <w:rsid w:val="00513185"/>
    <w:rsid w:val="00513545"/>
    <w:rsid w:val="00513B91"/>
    <w:rsid w:val="0051413D"/>
    <w:rsid w:val="0051508A"/>
    <w:rsid w:val="005151BF"/>
    <w:rsid w:val="005152FA"/>
    <w:rsid w:val="00516195"/>
    <w:rsid w:val="0051762A"/>
    <w:rsid w:val="005178CB"/>
    <w:rsid w:val="0052014B"/>
    <w:rsid w:val="00520737"/>
    <w:rsid w:val="00520E7B"/>
    <w:rsid w:val="00521A6A"/>
    <w:rsid w:val="005228AF"/>
    <w:rsid w:val="00522C84"/>
    <w:rsid w:val="00522D4D"/>
    <w:rsid w:val="00522DA4"/>
    <w:rsid w:val="00522DC5"/>
    <w:rsid w:val="00523619"/>
    <w:rsid w:val="00523EC1"/>
    <w:rsid w:val="00524A2B"/>
    <w:rsid w:val="005264C6"/>
    <w:rsid w:val="00526E89"/>
    <w:rsid w:val="00527A3B"/>
    <w:rsid w:val="005302DA"/>
    <w:rsid w:val="005308F0"/>
    <w:rsid w:val="00530D21"/>
    <w:rsid w:val="00531804"/>
    <w:rsid w:val="00531F28"/>
    <w:rsid w:val="00532AD1"/>
    <w:rsid w:val="00532CD7"/>
    <w:rsid w:val="00534662"/>
    <w:rsid w:val="00536439"/>
    <w:rsid w:val="00536CD9"/>
    <w:rsid w:val="00536D10"/>
    <w:rsid w:val="00537E26"/>
    <w:rsid w:val="00540741"/>
    <w:rsid w:val="00541671"/>
    <w:rsid w:val="00541D71"/>
    <w:rsid w:val="00542890"/>
    <w:rsid w:val="005438A3"/>
    <w:rsid w:val="005455A0"/>
    <w:rsid w:val="00545CA9"/>
    <w:rsid w:val="005462E3"/>
    <w:rsid w:val="0054652C"/>
    <w:rsid w:val="00546548"/>
    <w:rsid w:val="00547998"/>
    <w:rsid w:val="005500EE"/>
    <w:rsid w:val="00550B25"/>
    <w:rsid w:val="00550B98"/>
    <w:rsid w:val="00550C52"/>
    <w:rsid w:val="0055103F"/>
    <w:rsid w:val="00551D2A"/>
    <w:rsid w:val="00551FDC"/>
    <w:rsid w:val="00552711"/>
    <w:rsid w:val="00552D73"/>
    <w:rsid w:val="00553D38"/>
    <w:rsid w:val="005543D8"/>
    <w:rsid w:val="00554F76"/>
    <w:rsid w:val="00555ADC"/>
    <w:rsid w:val="00555B98"/>
    <w:rsid w:val="00556E12"/>
    <w:rsid w:val="00556E92"/>
    <w:rsid w:val="00556EDE"/>
    <w:rsid w:val="005609FD"/>
    <w:rsid w:val="00561194"/>
    <w:rsid w:val="00562DF7"/>
    <w:rsid w:val="0056366B"/>
    <w:rsid w:val="00563992"/>
    <w:rsid w:val="00564190"/>
    <w:rsid w:val="005646D0"/>
    <w:rsid w:val="005676A2"/>
    <w:rsid w:val="0057008F"/>
    <w:rsid w:val="005703C6"/>
    <w:rsid w:val="00571791"/>
    <w:rsid w:val="00571B58"/>
    <w:rsid w:val="00571B76"/>
    <w:rsid w:val="00571CCA"/>
    <w:rsid w:val="0057355A"/>
    <w:rsid w:val="00573732"/>
    <w:rsid w:val="00573DE4"/>
    <w:rsid w:val="00574E95"/>
    <w:rsid w:val="005764D9"/>
    <w:rsid w:val="005774AD"/>
    <w:rsid w:val="00577B5E"/>
    <w:rsid w:val="0058034B"/>
    <w:rsid w:val="005813B2"/>
    <w:rsid w:val="005821DD"/>
    <w:rsid w:val="00582D33"/>
    <w:rsid w:val="0058359B"/>
    <w:rsid w:val="005842D0"/>
    <w:rsid w:val="0058485A"/>
    <w:rsid w:val="0058517D"/>
    <w:rsid w:val="00585438"/>
    <w:rsid w:val="005864FF"/>
    <w:rsid w:val="00587061"/>
    <w:rsid w:val="00587AF6"/>
    <w:rsid w:val="00590E1F"/>
    <w:rsid w:val="0059105D"/>
    <w:rsid w:val="005913CA"/>
    <w:rsid w:val="0059162C"/>
    <w:rsid w:val="00591AC8"/>
    <w:rsid w:val="00591E36"/>
    <w:rsid w:val="00592483"/>
    <w:rsid w:val="0059274E"/>
    <w:rsid w:val="0059289C"/>
    <w:rsid w:val="00592E72"/>
    <w:rsid w:val="005930D4"/>
    <w:rsid w:val="005947C3"/>
    <w:rsid w:val="005956D4"/>
    <w:rsid w:val="00596241"/>
    <w:rsid w:val="005976E7"/>
    <w:rsid w:val="005A0CF9"/>
    <w:rsid w:val="005A128F"/>
    <w:rsid w:val="005A13FB"/>
    <w:rsid w:val="005A1E20"/>
    <w:rsid w:val="005A352A"/>
    <w:rsid w:val="005A4184"/>
    <w:rsid w:val="005A4B52"/>
    <w:rsid w:val="005A51A0"/>
    <w:rsid w:val="005A617E"/>
    <w:rsid w:val="005A638D"/>
    <w:rsid w:val="005B076F"/>
    <w:rsid w:val="005B1923"/>
    <w:rsid w:val="005B2579"/>
    <w:rsid w:val="005B28DA"/>
    <w:rsid w:val="005B29A5"/>
    <w:rsid w:val="005B3426"/>
    <w:rsid w:val="005B396C"/>
    <w:rsid w:val="005B46BC"/>
    <w:rsid w:val="005B4CA8"/>
    <w:rsid w:val="005B544A"/>
    <w:rsid w:val="005B59BE"/>
    <w:rsid w:val="005B6239"/>
    <w:rsid w:val="005B6F24"/>
    <w:rsid w:val="005B74B0"/>
    <w:rsid w:val="005C02B4"/>
    <w:rsid w:val="005C0632"/>
    <w:rsid w:val="005C07EE"/>
    <w:rsid w:val="005C0E15"/>
    <w:rsid w:val="005C2561"/>
    <w:rsid w:val="005C2968"/>
    <w:rsid w:val="005C32D8"/>
    <w:rsid w:val="005C3591"/>
    <w:rsid w:val="005C3C0E"/>
    <w:rsid w:val="005C4C5A"/>
    <w:rsid w:val="005C5312"/>
    <w:rsid w:val="005C56EB"/>
    <w:rsid w:val="005C6182"/>
    <w:rsid w:val="005C64BC"/>
    <w:rsid w:val="005C73FC"/>
    <w:rsid w:val="005C761F"/>
    <w:rsid w:val="005C76D0"/>
    <w:rsid w:val="005D1F74"/>
    <w:rsid w:val="005D36A4"/>
    <w:rsid w:val="005D39D5"/>
    <w:rsid w:val="005D47A0"/>
    <w:rsid w:val="005D48E8"/>
    <w:rsid w:val="005D581F"/>
    <w:rsid w:val="005D5BB9"/>
    <w:rsid w:val="005D5D55"/>
    <w:rsid w:val="005D5F35"/>
    <w:rsid w:val="005D617E"/>
    <w:rsid w:val="005D7777"/>
    <w:rsid w:val="005E06C5"/>
    <w:rsid w:val="005E0ED8"/>
    <w:rsid w:val="005E11CE"/>
    <w:rsid w:val="005E1D51"/>
    <w:rsid w:val="005E1D75"/>
    <w:rsid w:val="005E217B"/>
    <w:rsid w:val="005E2DB0"/>
    <w:rsid w:val="005E3229"/>
    <w:rsid w:val="005E34EA"/>
    <w:rsid w:val="005E3F10"/>
    <w:rsid w:val="005E4062"/>
    <w:rsid w:val="005E4427"/>
    <w:rsid w:val="005E4452"/>
    <w:rsid w:val="005E69FC"/>
    <w:rsid w:val="005F1E32"/>
    <w:rsid w:val="005F1E34"/>
    <w:rsid w:val="005F3B38"/>
    <w:rsid w:val="005F3FDA"/>
    <w:rsid w:val="005F4654"/>
    <w:rsid w:val="005F50F6"/>
    <w:rsid w:val="005F586C"/>
    <w:rsid w:val="005F6BEE"/>
    <w:rsid w:val="005F753D"/>
    <w:rsid w:val="0060080A"/>
    <w:rsid w:val="00600FC9"/>
    <w:rsid w:val="006010F0"/>
    <w:rsid w:val="00601AA0"/>
    <w:rsid w:val="00602981"/>
    <w:rsid w:val="00602DE2"/>
    <w:rsid w:val="00603F8A"/>
    <w:rsid w:val="006042DF"/>
    <w:rsid w:val="00604C56"/>
    <w:rsid w:val="0060509A"/>
    <w:rsid w:val="00605652"/>
    <w:rsid w:val="00605FF8"/>
    <w:rsid w:val="00606D7E"/>
    <w:rsid w:val="00607DC2"/>
    <w:rsid w:val="00607F26"/>
    <w:rsid w:val="006104D6"/>
    <w:rsid w:val="00610CA2"/>
    <w:rsid w:val="006113C1"/>
    <w:rsid w:val="00612314"/>
    <w:rsid w:val="00612392"/>
    <w:rsid w:val="00612803"/>
    <w:rsid w:val="00612C27"/>
    <w:rsid w:val="0061310B"/>
    <w:rsid w:val="00613295"/>
    <w:rsid w:val="0061411C"/>
    <w:rsid w:val="006154DC"/>
    <w:rsid w:val="00615A50"/>
    <w:rsid w:val="00615F65"/>
    <w:rsid w:val="00617053"/>
    <w:rsid w:val="006205C7"/>
    <w:rsid w:val="006209D6"/>
    <w:rsid w:val="00621629"/>
    <w:rsid w:val="00621A2B"/>
    <w:rsid w:val="00621FFA"/>
    <w:rsid w:val="00622673"/>
    <w:rsid w:val="006227BB"/>
    <w:rsid w:val="00622BE4"/>
    <w:rsid w:val="00622F96"/>
    <w:rsid w:val="006231DF"/>
    <w:rsid w:val="00624A54"/>
    <w:rsid w:val="006253F5"/>
    <w:rsid w:val="00625437"/>
    <w:rsid w:val="006266C3"/>
    <w:rsid w:val="0062677C"/>
    <w:rsid w:val="00627968"/>
    <w:rsid w:val="00627D0F"/>
    <w:rsid w:val="006301A3"/>
    <w:rsid w:val="00631158"/>
    <w:rsid w:val="00631BA0"/>
    <w:rsid w:val="00632AB5"/>
    <w:rsid w:val="00633123"/>
    <w:rsid w:val="006335C7"/>
    <w:rsid w:val="00633CA1"/>
    <w:rsid w:val="00634B80"/>
    <w:rsid w:val="00634FC7"/>
    <w:rsid w:val="00635E79"/>
    <w:rsid w:val="00636227"/>
    <w:rsid w:val="006369CF"/>
    <w:rsid w:val="00636FEA"/>
    <w:rsid w:val="0063718A"/>
    <w:rsid w:val="00637AFD"/>
    <w:rsid w:val="0064065C"/>
    <w:rsid w:val="0064100C"/>
    <w:rsid w:val="00641878"/>
    <w:rsid w:val="00641A4F"/>
    <w:rsid w:val="006460F3"/>
    <w:rsid w:val="00646AFC"/>
    <w:rsid w:val="006470D7"/>
    <w:rsid w:val="00647100"/>
    <w:rsid w:val="006473AB"/>
    <w:rsid w:val="0064760D"/>
    <w:rsid w:val="00647E3C"/>
    <w:rsid w:val="00650B61"/>
    <w:rsid w:val="00651978"/>
    <w:rsid w:val="00651B2E"/>
    <w:rsid w:val="00652DE1"/>
    <w:rsid w:val="006532A3"/>
    <w:rsid w:val="00654B31"/>
    <w:rsid w:val="00654FFB"/>
    <w:rsid w:val="00655016"/>
    <w:rsid w:val="00655017"/>
    <w:rsid w:val="006553AE"/>
    <w:rsid w:val="0065615B"/>
    <w:rsid w:val="00656844"/>
    <w:rsid w:val="00660053"/>
    <w:rsid w:val="006603C9"/>
    <w:rsid w:val="00661881"/>
    <w:rsid w:val="00662230"/>
    <w:rsid w:val="006630AB"/>
    <w:rsid w:val="00664016"/>
    <w:rsid w:val="00665317"/>
    <w:rsid w:val="006654A5"/>
    <w:rsid w:val="006659FB"/>
    <w:rsid w:val="00666448"/>
    <w:rsid w:val="006674F2"/>
    <w:rsid w:val="006676E6"/>
    <w:rsid w:val="00667812"/>
    <w:rsid w:val="0066799B"/>
    <w:rsid w:val="00667BA7"/>
    <w:rsid w:val="00667E82"/>
    <w:rsid w:val="00670B96"/>
    <w:rsid w:val="006717AA"/>
    <w:rsid w:val="00671E19"/>
    <w:rsid w:val="00671E91"/>
    <w:rsid w:val="00673C7C"/>
    <w:rsid w:val="00673E68"/>
    <w:rsid w:val="0067523A"/>
    <w:rsid w:val="0067532C"/>
    <w:rsid w:val="006757EB"/>
    <w:rsid w:val="00675A22"/>
    <w:rsid w:val="0067636A"/>
    <w:rsid w:val="00676BE7"/>
    <w:rsid w:val="00676D2E"/>
    <w:rsid w:val="0067791F"/>
    <w:rsid w:val="00680652"/>
    <w:rsid w:val="006825C5"/>
    <w:rsid w:val="00682CB8"/>
    <w:rsid w:val="00682DDC"/>
    <w:rsid w:val="006833EB"/>
    <w:rsid w:val="00683CF7"/>
    <w:rsid w:val="00683DAF"/>
    <w:rsid w:val="006843C8"/>
    <w:rsid w:val="006845F1"/>
    <w:rsid w:val="00684D0D"/>
    <w:rsid w:val="00684DBF"/>
    <w:rsid w:val="00685168"/>
    <w:rsid w:val="00685825"/>
    <w:rsid w:val="00686285"/>
    <w:rsid w:val="006865FB"/>
    <w:rsid w:val="0068703D"/>
    <w:rsid w:val="00690A64"/>
    <w:rsid w:val="00691C27"/>
    <w:rsid w:val="0069206A"/>
    <w:rsid w:val="006931F8"/>
    <w:rsid w:val="00693890"/>
    <w:rsid w:val="0069455A"/>
    <w:rsid w:val="00694F41"/>
    <w:rsid w:val="00696856"/>
    <w:rsid w:val="00696A16"/>
    <w:rsid w:val="006A0C18"/>
    <w:rsid w:val="006A1967"/>
    <w:rsid w:val="006A3231"/>
    <w:rsid w:val="006A48F3"/>
    <w:rsid w:val="006A4DCB"/>
    <w:rsid w:val="006A51BB"/>
    <w:rsid w:val="006A56A5"/>
    <w:rsid w:val="006A56D5"/>
    <w:rsid w:val="006A5CDB"/>
    <w:rsid w:val="006A6D6D"/>
    <w:rsid w:val="006A782A"/>
    <w:rsid w:val="006A7C8E"/>
    <w:rsid w:val="006B0A94"/>
    <w:rsid w:val="006B2D19"/>
    <w:rsid w:val="006B2DC6"/>
    <w:rsid w:val="006B31AE"/>
    <w:rsid w:val="006B335F"/>
    <w:rsid w:val="006B3ABF"/>
    <w:rsid w:val="006B3B61"/>
    <w:rsid w:val="006B3EAA"/>
    <w:rsid w:val="006B4302"/>
    <w:rsid w:val="006B510D"/>
    <w:rsid w:val="006B53B9"/>
    <w:rsid w:val="006B5530"/>
    <w:rsid w:val="006B63F8"/>
    <w:rsid w:val="006B67FC"/>
    <w:rsid w:val="006C0E41"/>
    <w:rsid w:val="006C10A3"/>
    <w:rsid w:val="006C1138"/>
    <w:rsid w:val="006C13DE"/>
    <w:rsid w:val="006C13DF"/>
    <w:rsid w:val="006C14E2"/>
    <w:rsid w:val="006C165D"/>
    <w:rsid w:val="006C196B"/>
    <w:rsid w:val="006C2485"/>
    <w:rsid w:val="006C2579"/>
    <w:rsid w:val="006C5060"/>
    <w:rsid w:val="006D2479"/>
    <w:rsid w:val="006D3BD4"/>
    <w:rsid w:val="006D3DBC"/>
    <w:rsid w:val="006D3F3A"/>
    <w:rsid w:val="006D49DC"/>
    <w:rsid w:val="006D5012"/>
    <w:rsid w:val="006D5364"/>
    <w:rsid w:val="006D5509"/>
    <w:rsid w:val="006D5FAC"/>
    <w:rsid w:val="006D6FD3"/>
    <w:rsid w:val="006D7C93"/>
    <w:rsid w:val="006E0861"/>
    <w:rsid w:val="006E1098"/>
    <w:rsid w:val="006E10A2"/>
    <w:rsid w:val="006E1A01"/>
    <w:rsid w:val="006E1BAE"/>
    <w:rsid w:val="006E1F29"/>
    <w:rsid w:val="006E36FB"/>
    <w:rsid w:val="006E43F0"/>
    <w:rsid w:val="006E4748"/>
    <w:rsid w:val="006E53B3"/>
    <w:rsid w:val="006E54C7"/>
    <w:rsid w:val="006E6241"/>
    <w:rsid w:val="006E71BE"/>
    <w:rsid w:val="006E75CB"/>
    <w:rsid w:val="006E78AD"/>
    <w:rsid w:val="006F2342"/>
    <w:rsid w:val="006F2512"/>
    <w:rsid w:val="006F31C1"/>
    <w:rsid w:val="006F49D6"/>
    <w:rsid w:val="006F58B5"/>
    <w:rsid w:val="006F6100"/>
    <w:rsid w:val="006F6757"/>
    <w:rsid w:val="006F6EAC"/>
    <w:rsid w:val="006F7160"/>
    <w:rsid w:val="006F7D09"/>
    <w:rsid w:val="007001DE"/>
    <w:rsid w:val="0070051B"/>
    <w:rsid w:val="007005E8"/>
    <w:rsid w:val="007020FF"/>
    <w:rsid w:val="00702464"/>
    <w:rsid w:val="007025FC"/>
    <w:rsid w:val="00703912"/>
    <w:rsid w:val="00703A03"/>
    <w:rsid w:val="007048E3"/>
    <w:rsid w:val="0070570A"/>
    <w:rsid w:val="00707011"/>
    <w:rsid w:val="0071091E"/>
    <w:rsid w:val="007114A6"/>
    <w:rsid w:val="0071225A"/>
    <w:rsid w:val="00712EC0"/>
    <w:rsid w:val="00713AE6"/>
    <w:rsid w:val="00714045"/>
    <w:rsid w:val="007149C6"/>
    <w:rsid w:val="00715BF1"/>
    <w:rsid w:val="0071695C"/>
    <w:rsid w:val="00716E4E"/>
    <w:rsid w:val="007171FE"/>
    <w:rsid w:val="007173CD"/>
    <w:rsid w:val="00720224"/>
    <w:rsid w:val="00723A06"/>
    <w:rsid w:val="00723B95"/>
    <w:rsid w:val="00724185"/>
    <w:rsid w:val="00724572"/>
    <w:rsid w:val="0072496F"/>
    <w:rsid w:val="007253D5"/>
    <w:rsid w:val="007255FD"/>
    <w:rsid w:val="0072560C"/>
    <w:rsid w:val="0072636E"/>
    <w:rsid w:val="0072648B"/>
    <w:rsid w:val="00726902"/>
    <w:rsid w:val="007300CB"/>
    <w:rsid w:val="00730859"/>
    <w:rsid w:val="00730F62"/>
    <w:rsid w:val="00732591"/>
    <w:rsid w:val="00733C03"/>
    <w:rsid w:val="0073476C"/>
    <w:rsid w:val="00735A6A"/>
    <w:rsid w:val="00736349"/>
    <w:rsid w:val="0074140D"/>
    <w:rsid w:val="007418F7"/>
    <w:rsid w:val="00742736"/>
    <w:rsid w:val="00742C39"/>
    <w:rsid w:val="00742F6D"/>
    <w:rsid w:val="0074346F"/>
    <w:rsid w:val="0074439A"/>
    <w:rsid w:val="007452FE"/>
    <w:rsid w:val="007459DA"/>
    <w:rsid w:val="00745C7F"/>
    <w:rsid w:val="00746239"/>
    <w:rsid w:val="00746A03"/>
    <w:rsid w:val="00747B1E"/>
    <w:rsid w:val="00747B28"/>
    <w:rsid w:val="007516DB"/>
    <w:rsid w:val="00751B61"/>
    <w:rsid w:val="00752519"/>
    <w:rsid w:val="0075272D"/>
    <w:rsid w:val="00754AD3"/>
    <w:rsid w:val="00754C2F"/>
    <w:rsid w:val="0075507F"/>
    <w:rsid w:val="00755276"/>
    <w:rsid w:val="00756A90"/>
    <w:rsid w:val="00756F8F"/>
    <w:rsid w:val="00757015"/>
    <w:rsid w:val="00757715"/>
    <w:rsid w:val="00757949"/>
    <w:rsid w:val="00757C28"/>
    <w:rsid w:val="00757DE8"/>
    <w:rsid w:val="00760199"/>
    <w:rsid w:val="00760221"/>
    <w:rsid w:val="0076054C"/>
    <w:rsid w:val="007629B1"/>
    <w:rsid w:val="00762D27"/>
    <w:rsid w:val="00763074"/>
    <w:rsid w:val="007643EF"/>
    <w:rsid w:val="0076440D"/>
    <w:rsid w:val="00764EC0"/>
    <w:rsid w:val="00765242"/>
    <w:rsid w:val="00767240"/>
    <w:rsid w:val="00767495"/>
    <w:rsid w:val="007676EA"/>
    <w:rsid w:val="00767E1E"/>
    <w:rsid w:val="00770B29"/>
    <w:rsid w:val="00770CA1"/>
    <w:rsid w:val="007710DC"/>
    <w:rsid w:val="00771780"/>
    <w:rsid w:val="00773786"/>
    <w:rsid w:val="00775783"/>
    <w:rsid w:val="00775ACF"/>
    <w:rsid w:val="0077651D"/>
    <w:rsid w:val="00776A2C"/>
    <w:rsid w:val="007774C9"/>
    <w:rsid w:val="00780CC3"/>
    <w:rsid w:val="00780ECB"/>
    <w:rsid w:val="007813E9"/>
    <w:rsid w:val="00781E02"/>
    <w:rsid w:val="0078233A"/>
    <w:rsid w:val="00784097"/>
    <w:rsid w:val="00784347"/>
    <w:rsid w:val="007853D5"/>
    <w:rsid w:val="00785E4F"/>
    <w:rsid w:val="007863A0"/>
    <w:rsid w:val="007869AE"/>
    <w:rsid w:val="00787016"/>
    <w:rsid w:val="007900FC"/>
    <w:rsid w:val="00792D70"/>
    <w:rsid w:val="00792FFE"/>
    <w:rsid w:val="00793341"/>
    <w:rsid w:val="007936F1"/>
    <w:rsid w:val="00793736"/>
    <w:rsid w:val="00794836"/>
    <w:rsid w:val="00794A80"/>
    <w:rsid w:val="007951E7"/>
    <w:rsid w:val="007952B0"/>
    <w:rsid w:val="007952FF"/>
    <w:rsid w:val="007957E5"/>
    <w:rsid w:val="0079595A"/>
    <w:rsid w:val="007969A0"/>
    <w:rsid w:val="00797658"/>
    <w:rsid w:val="00797F1A"/>
    <w:rsid w:val="007A0FAE"/>
    <w:rsid w:val="007A0FC9"/>
    <w:rsid w:val="007A15A9"/>
    <w:rsid w:val="007A1D80"/>
    <w:rsid w:val="007A2CB8"/>
    <w:rsid w:val="007A3CAB"/>
    <w:rsid w:val="007A4546"/>
    <w:rsid w:val="007A4702"/>
    <w:rsid w:val="007A51EF"/>
    <w:rsid w:val="007A530D"/>
    <w:rsid w:val="007A6121"/>
    <w:rsid w:val="007A69A4"/>
    <w:rsid w:val="007A7328"/>
    <w:rsid w:val="007B0939"/>
    <w:rsid w:val="007B130D"/>
    <w:rsid w:val="007B17A6"/>
    <w:rsid w:val="007B25C7"/>
    <w:rsid w:val="007B2C38"/>
    <w:rsid w:val="007B2FC9"/>
    <w:rsid w:val="007B43F8"/>
    <w:rsid w:val="007B6038"/>
    <w:rsid w:val="007B644B"/>
    <w:rsid w:val="007B64D0"/>
    <w:rsid w:val="007B6636"/>
    <w:rsid w:val="007B66EA"/>
    <w:rsid w:val="007B6B08"/>
    <w:rsid w:val="007C13F2"/>
    <w:rsid w:val="007C1AD2"/>
    <w:rsid w:val="007C2081"/>
    <w:rsid w:val="007C267A"/>
    <w:rsid w:val="007C2B78"/>
    <w:rsid w:val="007C35C6"/>
    <w:rsid w:val="007C4353"/>
    <w:rsid w:val="007C4B7C"/>
    <w:rsid w:val="007C4C5E"/>
    <w:rsid w:val="007C4F38"/>
    <w:rsid w:val="007C5507"/>
    <w:rsid w:val="007C6167"/>
    <w:rsid w:val="007C6AB7"/>
    <w:rsid w:val="007D075C"/>
    <w:rsid w:val="007D08D8"/>
    <w:rsid w:val="007D0E49"/>
    <w:rsid w:val="007D1125"/>
    <w:rsid w:val="007D1E90"/>
    <w:rsid w:val="007D2452"/>
    <w:rsid w:val="007D2565"/>
    <w:rsid w:val="007D26A1"/>
    <w:rsid w:val="007D2A09"/>
    <w:rsid w:val="007D403C"/>
    <w:rsid w:val="007D5D62"/>
    <w:rsid w:val="007D5E29"/>
    <w:rsid w:val="007D6564"/>
    <w:rsid w:val="007D65BA"/>
    <w:rsid w:val="007D6E2F"/>
    <w:rsid w:val="007D7CFC"/>
    <w:rsid w:val="007E0352"/>
    <w:rsid w:val="007E0381"/>
    <w:rsid w:val="007E173D"/>
    <w:rsid w:val="007E1C3A"/>
    <w:rsid w:val="007E3E60"/>
    <w:rsid w:val="007E436E"/>
    <w:rsid w:val="007E50F6"/>
    <w:rsid w:val="007E5101"/>
    <w:rsid w:val="007E53AE"/>
    <w:rsid w:val="007E6A47"/>
    <w:rsid w:val="007E7E8D"/>
    <w:rsid w:val="007F0E92"/>
    <w:rsid w:val="007F19D4"/>
    <w:rsid w:val="007F2804"/>
    <w:rsid w:val="007F2CEF"/>
    <w:rsid w:val="007F2EAD"/>
    <w:rsid w:val="007F3950"/>
    <w:rsid w:val="007F42F3"/>
    <w:rsid w:val="007F5F80"/>
    <w:rsid w:val="007F6A33"/>
    <w:rsid w:val="007F77E2"/>
    <w:rsid w:val="00801380"/>
    <w:rsid w:val="008018AA"/>
    <w:rsid w:val="008018AC"/>
    <w:rsid w:val="008032B8"/>
    <w:rsid w:val="0080382D"/>
    <w:rsid w:val="00803C7C"/>
    <w:rsid w:val="008046C4"/>
    <w:rsid w:val="00805E64"/>
    <w:rsid w:val="00806342"/>
    <w:rsid w:val="00806843"/>
    <w:rsid w:val="00806BCB"/>
    <w:rsid w:val="008107A7"/>
    <w:rsid w:val="00811292"/>
    <w:rsid w:val="00811475"/>
    <w:rsid w:val="00811618"/>
    <w:rsid w:val="00811834"/>
    <w:rsid w:val="00812398"/>
    <w:rsid w:val="0081356B"/>
    <w:rsid w:val="00814CE1"/>
    <w:rsid w:val="00815742"/>
    <w:rsid w:val="00816CA6"/>
    <w:rsid w:val="00816F44"/>
    <w:rsid w:val="008173F0"/>
    <w:rsid w:val="00817549"/>
    <w:rsid w:val="008175D8"/>
    <w:rsid w:val="00820575"/>
    <w:rsid w:val="008206A2"/>
    <w:rsid w:val="00822944"/>
    <w:rsid w:val="00823E68"/>
    <w:rsid w:val="00824F0F"/>
    <w:rsid w:val="008255B0"/>
    <w:rsid w:val="00825736"/>
    <w:rsid w:val="00825DE9"/>
    <w:rsid w:val="0082639E"/>
    <w:rsid w:val="0082676A"/>
    <w:rsid w:val="00826A9F"/>
    <w:rsid w:val="00826AB7"/>
    <w:rsid w:val="00826BFA"/>
    <w:rsid w:val="00826FAF"/>
    <w:rsid w:val="00827CBF"/>
    <w:rsid w:val="008307AB"/>
    <w:rsid w:val="00832099"/>
    <w:rsid w:val="00834AD1"/>
    <w:rsid w:val="00835AFE"/>
    <w:rsid w:val="00837E54"/>
    <w:rsid w:val="00840583"/>
    <w:rsid w:val="00841113"/>
    <w:rsid w:val="00841A76"/>
    <w:rsid w:val="008422F8"/>
    <w:rsid w:val="008431FD"/>
    <w:rsid w:val="008443EA"/>
    <w:rsid w:val="00844EF6"/>
    <w:rsid w:val="008451ED"/>
    <w:rsid w:val="0084608F"/>
    <w:rsid w:val="00846811"/>
    <w:rsid w:val="00850B48"/>
    <w:rsid w:val="008520F6"/>
    <w:rsid w:val="008521A5"/>
    <w:rsid w:val="00852707"/>
    <w:rsid w:val="008529F7"/>
    <w:rsid w:val="00853FAB"/>
    <w:rsid w:val="00854785"/>
    <w:rsid w:val="0085511D"/>
    <w:rsid w:val="00855CC0"/>
    <w:rsid w:val="008572A7"/>
    <w:rsid w:val="0085761B"/>
    <w:rsid w:val="00857DBC"/>
    <w:rsid w:val="00857E3C"/>
    <w:rsid w:val="0086026D"/>
    <w:rsid w:val="008609BC"/>
    <w:rsid w:val="00860E60"/>
    <w:rsid w:val="00861287"/>
    <w:rsid w:val="00862140"/>
    <w:rsid w:val="00863114"/>
    <w:rsid w:val="00864D7E"/>
    <w:rsid w:val="0086625F"/>
    <w:rsid w:val="008663AF"/>
    <w:rsid w:val="00866F71"/>
    <w:rsid w:val="00867663"/>
    <w:rsid w:val="008677F5"/>
    <w:rsid w:val="008705B6"/>
    <w:rsid w:val="00871843"/>
    <w:rsid w:val="008721D7"/>
    <w:rsid w:val="00872550"/>
    <w:rsid w:val="0087280C"/>
    <w:rsid w:val="00872E34"/>
    <w:rsid w:val="00872E4C"/>
    <w:rsid w:val="00873A5E"/>
    <w:rsid w:val="008748B8"/>
    <w:rsid w:val="00875C4B"/>
    <w:rsid w:val="0087670C"/>
    <w:rsid w:val="008767C3"/>
    <w:rsid w:val="008770C7"/>
    <w:rsid w:val="0087789F"/>
    <w:rsid w:val="00877D61"/>
    <w:rsid w:val="00880A25"/>
    <w:rsid w:val="00881D44"/>
    <w:rsid w:val="00884602"/>
    <w:rsid w:val="00884FB2"/>
    <w:rsid w:val="00885A1B"/>
    <w:rsid w:val="0088670F"/>
    <w:rsid w:val="00890C3C"/>
    <w:rsid w:val="00890EDD"/>
    <w:rsid w:val="00891567"/>
    <w:rsid w:val="0089195F"/>
    <w:rsid w:val="00891D66"/>
    <w:rsid w:val="00892203"/>
    <w:rsid w:val="0089260C"/>
    <w:rsid w:val="00893957"/>
    <w:rsid w:val="00893C3A"/>
    <w:rsid w:val="00894EEB"/>
    <w:rsid w:val="008958B5"/>
    <w:rsid w:val="00895DB6"/>
    <w:rsid w:val="00895E83"/>
    <w:rsid w:val="00896114"/>
    <w:rsid w:val="008962D7"/>
    <w:rsid w:val="008977E0"/>
    <w:rsid w:val="008A076E"/>
    <w:rsid w:val="008A0982"/>
    <w:rsid w:val="008A1051"/>
    <w:rsid w:val="008A1086"/>
    <w:rsid w:val="008A1707"/>
    <w:rsid w:val="008A1A19"/>
    <w:rsid w:val="008A2390"/>
    <w:rsid w:val="008A272D"/>
    <w:rsid w:val="008A2D9F"/>
    <w:rsid w:val="008A30A1"/>
    <w:rsid w:val="008A3C56"/>
    <w:rsid w:val="008A4016"/>
    <w:rsid w:val="008A5657"/>
    <w:rsid w:val="008A685A"/>
    <w:rsid w:val="008A792B"/>
    <w:rsid w:val="008B05B0"/>
    <w:rsid w:val="008B092D"/>
    <w:rsid w:val="008B09D7"/>
    <w:rsid w:val="008B1D70"/>
    <w:rsid w:val="008B2432"/>
    <w:rsid w:val="008B310F"/>
    <w:rsid w:val="008B31D5"/>
    <w:rsid w:val="008B3C90"/>
    <w:rsid w:val="008B3FDE"/>
    <w:rsid w:val="008B5F63"/>
    <w:rsid w:val="008B6D17"/>
    <w:rsid w:val="008B6DC2"/>
    <w:rsid w:val="008B7161"/>
    <w:rsid w:val="008B75FF"/>
    <w:rsid w:val="008B7BBF"/>
    <w:rsid w:val="008C0084"/>
    <w:rsid w:val="008C0420"/>
    <w:rsid w:val="008C04AD"/>
    <w:rsid w:val="008C0716"/>
    <w:rsid w:val="008C090C"/>
    <w:rsid w:val="008C0F56"/>
    <w:rsid w:val="008C1762"/>
    <w:rsid w:val="008C23C8"/>
    <w:rsid w:val="008C43A6"/>
    <w:rsid w:val="008C5A34"/>
    <w:rsid w:val="008C738A"/>
    <w:rsid w:val="008C7B0C"/>
    <w:rsid w:val="008D1DD5"/>
    <w:rsid w:val="008D232C"/>
    <w:rsid w:val="008D30C0"/>
    <w:rsid w:val="008D3211"/>
    <w:rsid w:val="008D4356"/>
    <w:rsid w:val="008D45E6"/>
    <w:rsid w:val="008D47A8"/>
    <w:rsid w:val="008D4D10"/>
    <w:rsid w:val="008D4E81"/>
    <w:rsid w:val="008D5373"/>
    <w:rsid w:val="008D5A3D"/>
    <w:rsid w:val="008D60A7"/>
    <w:rsid w:val="008D7340"/>
    <w:rsid w:val="008D7D83"/>
    <w:rsid w:val="008E043D"/>
    <w:rsid w:val="008E0963"/>
    <w:rsid w:val="008E10DF"/>
    <w:rsid w:val="008E2DCC"/>
    <w:rsid w:val="008E34F2"/>
    <w:rsid w:val="008E43B2"/>
    <w:rsid w:val="008E43D3"/>
    <w:rsid w:val="008E4828"/>
    <w:rsid w:val="008E48F2"/>
    <w:rsid w:val="008E52A1"/>
    <w:rsid w:val="008E64FF"/>
    <w:rsid w:val="008E7D80"/>
    <w:rsid w:val="008F12F6"/>
    <w:rsid w:val="008F17F3"/>
    <w:rsid w:val="008F234B"/>
    <w:rsid w:val="008F2626"/>
    <w:rsid w:val="008F2E05"/>
    <w:rsid w:val="008F4AAB"/>
    <w:rsid w:val="008F62F6"/>
    <w:rsid w:val="008F643F"/>
    <w:rsid w:val="008F64D8"/>
    <w:rsid w:val="008F7233"/>
    <w:rsid w:val="008F7653"/>
    <w:rsid w:val="008F774F"/>
    <w:rsid w:val="009016EB"/>
    <w:rsid w:val="00902E49"/>
    <w:rsid w:val="009030B6"/>
    <w:rsid w:val="009034C7"/>
    <w:rsid w:val="009041D1"/>
    <w:rsid w:val="009050B6"/>
    <w:rsid w:val="00905E5E"/>
    <w:rsid w:val="009062EF"/>
    <w:rsid w:val="0090792B"/>
    <w:rsid w:val="00907A91"/>
    <w:rsid w:val="009100A5"/>
    <w:rsid w:val="00911709"/>
    <w:rsid w:val="009129CE"/>
    <w:rsid w:val="00915638"/>
    <w:rsid w:val="00915A26"/>
    <w:rsid w:val="00915B8E"/>
    <w:rsid w:val="00917E89"/>
    <w:rsid w:val="0092133C"/>
    <w:rsid w:val="00921AEE"/>
    <w:rsid w:val="0092207E"/>
    <w:rsid w:val="009238EE"/>
    <w:rsid w:val="00923D81"/>
    <w:rsid w:val="009242A1"/>
    <w:rsid w:val="00924B13"/>
    <w:rsid w:val="00925498"/>
    <w:rsid w:val="00925D79"/>
    <w:rsid w:val="009307EB"/>
    <w:rsid w:val="00930EAE"/>
    <w:rsid w:val="00931F10"/>
    <w:rsid w:val="009335FE"/>
    <w:rsid w:val="0093376C"/>
    <w:rsid w:val="00933B64"/>
    <w:rsid w:val="00933DF4"/>
    <w:rsid w:val="009342D0"/>
    <w:rsid w:val="00934434"/>
    <w:rsid w:val="00934768"/>
    <w:rsid w:val="00934FB9"/>
    <w:rsid w:val="00935730"/>
    <w:rsid w:val="0093662C"/>
    <w:rsid w:val="00936E58"/>
    <w:rsid w:val="009370EB"/>
    <w:rsid w:val="00937223"/>
    <w:rsid w:val="009377A0"/>
    <w:rsid w:val="00940803"/>
    <w:rsid w:val="009423C7"/>
    <w:rsid w:val="00942C96"/>
    <w:rsid w:val="00942E7E"/>
    <w:rsid w:val="00943695"/>
    <w:rsid w:val="00945221"/>
    <w:rsid w:val="00946C3E"/>
    <w:rsid w:val="00946FB2"/>
    <w:rsid w:val="009505FC"/>
    <w:rsid w:val="009509D5"/>
    <w:rsid w:val="0095150E"/>
    <w:rsid w:val="009523A4"/>
    <w:rsid w:val="00953434"/>
    <w:rsid w:val="00953D58"/>
    <w:rsid w:val="009543FF"/>
    <w:rsid w:val="009548BE"/>
    <w:rsid w:val="009553C0"/>
    <w:rsid w:val="00956476"/>
    <w:rsid w:val="00956996"/>
    <w:rsid w:val="0095752C"/>
    <w:rsid w:val="009576F4"/>
    <w:rsid w:val="00957A38"/>
    <w:rsid w:val="00957DF7"/>
    <w:rsid w:val="00960B87"/>
    <w:rsid w:val="0096199E"/>
    <w:rsid w:val="00961C37"/>
    <w:rsid w:val="00962949"/>
    <w:rsid w:val="0096342F"/>
    <w:rsid w:val="0096368A"/>
    <w:rsid w:val="009638FA"/>
    <w:rsid w:val="00963FC2"/>
    <w:rsid w:val="00965993"/>
    <w:rsid w:val="009659D7"/>
    <w:rsid w:val="00965B59"/>
    <w:rsid w:val="009667E2"/>
    <w:rsid w:val="00966F9B"/>
    <w:rsid w:val="00967088"/>
    <w:rsid w:val="00967373"/>
    <w:rsid w:val="00971928"/>
    <w:rsid w:val="00971F22"/>
    <w:rsid w:val="00972293"/>
    <w:rsid w:val="00972DCA"/>
    <w:rsid w:val="009731E1"/>
    <w:rsid w:val="00973239"/>
    <w:rsid w:val="00973A20"/>
    <w:rsid w:val="00974124"/>
    <w:rsid w:val="00975186"/>
    <w:rsid w:val="009753B9"/>
    <w:rsid w:val="00975EAD"/>
    <w:rsid w:val="009810D0"/>
    <w:rsid w:val="009824D6"/>
    <w:rsid w:val="00982E3C"/>
    <w:rsid w:val="00983C90"/>
    <w:rsid w:val="00984354"/>
    <w:rsid w:val="0098444E"/>
    <w:rsid w:val="0098448B"/>
    <w:rsid w:val="00984796"/>
    <w:rsid w:val="00984C05"/>
    <w:rsid w:val="00985046"/>
    <w:rsid w:val="009859C4"/>
    <w:rsid w:val="009863E0"/>
    <w:rsid w:val="00986473"/>
    <w:rsid w:val="00986507"/>
    <w:rsid w:val="00986ACB"/>
    <w:rsid w:val="00986B2C"/>
    <w:rsid w:val="00987F8E"/>
    <w:rsid w:val="0099083A"/>
    <w:rsid w:val="00991122"/>
    <w:rsid w:val="00991C18"/>
    <w:rsid w:val="00991CC8"/>
    <w:rsid w:val="00991D26"/>
    <w:rsid w:val="00993202"/>
    <w:rsid w:val="00993BAD"/>
    <w:rsid w:val="00994019"/>
    <w:rsid w:val="009944AC"/>
    <w:rsid w:val="00994F70"/>
    <w:rsid w:val="0099589C"/>
    <w:rsid w:val="00995902"/>
    <w:rsid w:val="00996944"/>
    <w:rsid w:val="00996AE7"/>
    <w:rsid w:val="00996B06"/>
    <w:rsid w:val="009A01AD"/>
    <w:rsid w:val="009A1600"/>
    <w:rsid w:val="009A1828"/>
    <w:rsid w:val="009A30F9"/>
    <w:rsid w:val="009A3345"/>
    <w:rsid w:val="009A35C7"/>
    <w:rsid w:val="009A3649"/>
    <w:rsid w:val="009A3861"/>
    <w:rsid w:val="009A531D"/>
    <w:rsid w:val="009A5B07"/>
    <w:rsid w:val="009A6B98"/>
    <w:rsid w:val="009A6BEE"/>
    <w:rsid w:val="009A734E"/>
    <w:rsid w:val="009B0CDA"/>
    <w:rsid w:val="009B0FB7"/>
    <w:rsid w:val="009B1358"/>
    <w:rsid w:val="009B1C26"/>
    <w:rsid w:val="009B258C"/>
    <w:rsid w:val="009B2AEA"/>
    <w:rsid w:val="009B2B5D"/>
    <w:rsid w:val="009B32F6"/>
    <w:rsid w:val="009B3CAA"/>
    <w:rsid w:val="009B4485"/>
    <w:rsid w:val="009B52C8"/>
    <w:rsid w:val="009B53B5"/>
    <w:rsid w:val="009B56D1"/>
    <w:rsid w:val="009B5859"/>
    <w:rsid w:val="009B5F37"/>
    <w:rsid w:val="009B6541"/>
    <w:rsid w:val="009B704C"/>
    <w:rsid w:val="009B72CF"/>
    <w:rsid w:val="009B7E5E"/>
    <w:rsid w:val="009C09CA"/>
    <w:rsid w:val="009C0DF9"/>
    <w:rsid w:val="009C20B4"/>
    <w:rsid w:val="009C24F1"/>
    <w:rsid w:val="009C2695"/>
    <w:rsid w:val="009C356C"/>
    <w:rsid w:val="009C3762"/>
    <w:rsid w:val="009C38B3"/>
    <w:rsid w:val="009C3E06"/>
    <w:rsid w:val="009C4979"/>
    <w:rsid w:val="009C54BF"/>
    <w:rsid w:val="009C60E9"/>
    <w:rsid w:val="009C69D1"/>
    <w:rsid w:val="009C6E82"/>
    <w:rsid w:val="009C75A2"/>
    <w:rsid w:val="009C7A9E"/>
    <w:rsid w:val="009C7F20"/>
    <w:rsid w:val="009D024F"/>
    <w:rsid w:val="009D0A8B"/>
    <w:rsid w:val="009D134E"/>
    <w:rsid w:val="009D284E"/>
    <w:rsid w:val="009D2FE4"/>
    <w:rsid w:val="009D3515"/>
    <w:rsid w:val="009D35FE"/>
    <w:rsid w:val="009D4222"/>
    <w:rsid w:val="009D49F1"/>
    <w:rsid w:val="009D4B4F"/>
    <w:rsid w:val="009D4DCF"/>
    <w:rsid w:val="009D577D"/>
    <w:rsid w:val="009D709C"/>
    <w:rsid w:val="009D74AA"/>
    <w:rsid w:val="009D7F6C"/>
    <w:rsid w:val="009E0677"/>
    <w:rsid w:val="009E2516"/>
    <w:rsid w:val="009E27BD"/>
    <w:rsid w:val="009E2B97"/>
    <w:rsid w:val="009E4EFF"/>
    <w:rsid w:val="009E5102"/>
    <w:rsid w:val="009E55C8"/>
    <w:rsid w:val="009E575D"/>
    <w:rsid w:val="009E5DDF"/>
    <w:rsid w:val="009E6045"/>
    <w:rsid w:val="009E6BCF"/>
    <w:rsid w:val="009F0228"/>
    <w:rsid w:val="009F0354"/>
    <w:rsid w:val="009F0A03"/>
    <w:rsid w:val="009F1608"/>
    <w:rsid w:val="009F2166"/>
    <w:rsid w:val="009F2F9A"/>
    <w:rsid w:val="009F3573"/>
    <w:rsid w:val="009F39CA"/>
    <w:rsid w:val="009F39FD"/>
    <w:rsid w:val="009F5B8F"/>
    <w:rsid w:val="009F5F63"/>
    <w:rsid w:val="009F613C"/>
    <w:rsid w:val="009F6F8D"/>
    <w:rsid w:val="009F70D3"/>
    <w:rsid w:val="009F71FE"/>
    <w:rsid w:val="009F74D1"/>
    <w:rsid w:val="009F7D76"/>
    <w:rsid w:val="009F7EB4"/>
    <w:rsid w:val="00A00984"/>
    <w:rsid w:val="00A00CD8"/>
    <w:rsid w:val="00A0143C"/>
    <w:rsid w:val="00A01AC7"/>
    <w:rsid w:val="00A03B6A"/>
    <w:rsid w:val="00A03E50"/>
    <w:rsid w:val="00A044AE"/>
    <w:rsid w:val="00A056BE"/>
    <w:rsid w:val="00A07042"/>
    <w:rsid w:val="00A079A5"/>
    <w:rsid w:val="00A07D52"/>
    <w:rsid w:val="00A07E11"/>
    <w:rsid w:val="00A10ACB"/>
    <w:rsid w:val="00A1270C"/>
    <w:rsid w:val="00A13242"/>
    <w:rsid w:val="00A132A4"/>
    <w:rsid w:val="00A13ED7"/>
    <w:rsid w:val="00A14663"/>
    <w:rsid w:val="00A15068"/>
    <w:rsid w:val="00A15AF0"/>
    <w:rsid w:val="00A16B31"/>
    <w:rsid w:val="00A16DB4"/>
    <w:rsid w:val="00A17531"/>
    <w:rsid w:val="00A21CC9"/>
    <w:rsid w:val="00A25688"/>
    <w:rsid w:val="00A25FD2"/>
    <w:rsid w:val="00A267BA"/>
    <w:rsid w:val="00A26E1B"/>
    <w:rsid w:val="00A27BE3"/>
    <w:rsid w:val="00A33F04"/>
    <w:rsid w:val="00A343CE"/>
    <w:rsid w:val="00A34972"/>
    <w:rsid w:val="00A34E1D"/>
    <w:rsid w:val="00A36146"/>
    <w:rsid w:val="00A3692A"/>
    <w:rsid w:val="00A36C1B"/>
    <w:rsid w:val="00A3701C"/>
    <w:rsid w:val="00A3726F"/>
    <w:rsid w:val="00A37421"/>
    <w:rsid w:val="00A4119A"/>
    <w:rsid w:val="00A415E3"/>
    <w:rsid w:val="00A41800"/>
    <w:rsid w:val="00A41C70"/>
    <w:rsid w:val="00A42479"/>
    <w:rsid w:val="00A426DF"/>
    <w:rsid w:val="00A42C1E"/>
    <w:rsid w:val="00A42D93"/>
    <w:rsid w:val="00A42E8B"/>
    <w:rsid w:val="00A43B4B"/>
    <w:rsid w:val="00A44819"/>
    <w:rsid w:val="00A464FD"/>
    <w:rsid w:val="00A46844"/>
    <w:rsid w:val="00A47A79"/>
    <w:rsid w:val="00A47F12"/>
    <w:rsid w:val="00A47F32"/>
    <w:rsid w:val="00A50CF8"/>
    <w:rsid w:val="00A515D5"/>
    <w:rsid w:val="00A51B93"/>
    <w:rsid w:val="00A51DDD"/>
    <w:rsid w:val="00A51E60"/>
    <w:rsid w:val="00A528AB"/>
    <w:rsid w:val="00A52C0E"/>
    <w:rsid w:val="00A53059"/>
    <w:rsid w:val="00A534C4"/>
    <w:rsid w:val="00A5400F"/>
    <w:rsid w:val="00A54825"/>
    <w:rsid w:val="00A5564D"/>
    <w:rsid w:val="00A557FD"/>
    <w:rsid w:val="00A558CC"/>
    <w:rsid w:val="00A566FE"/>
    <w:rsid w:val="00A56D19"/>
    <w:rsid w:val="00A5777D"/>
    <w:rsid w:val="00A6033F"/>
    <w:rsid w:val="00A60820"/>
    <w:rsid w:val="00A60ED9"/>
    <w:rsid w:val="00A63E93"/>
    <w:rsid w:val="00A65284"/>
    <w:rsid w:val="00A653A2"/>
    <w:rsid w:val="00A65AA6"/>
    <w:rsid w:val="00A667A7"/>
    <w:rsid w:val="00A67D34"/>
    <w:rsid w:val="00A67EB0"/>
    <w:rsid w:val="00A67F5F"/>
    <w:rsid w:val="00A70F03"/>
    <w:rsid w:val="00A7105D"/>
    <w:rsid w:val="00A71688"/>
    <w:rsid w:val="00A7185E"/>
    <w:rsid w:val="00A71CEB"/>
    <w:rsid w:val="00A72C13"/>
    <w:rsid w:val="00A745D4"/>
    <w:rsid w:val="00A749F1"/>
    <w:rsid w:val="00A75CDA"/>
    <w:rsid w:val="00A7650C"/>
    <w:rsid w:val="00A77218"/>
    <w:rsid w:val="00A775AC"/>
    <w:rsid w:val="00A77FBE"/>
    <w:rsid w:val="00A800FA"/>
    <w:rsid w:val="00A80BC1"/>
    <w:rsid w:val="00A83592"/>
    <w:rsid w:val="00A8382A"/>
    <w:rsid w:val="00A83C48"/>
    <w:rsid w:val="00A843B4"/>
    <w:rsid w:val="00A84534"/>
    <w:rsid w:val="00A846CC"/>
    <w:rsid w:val="00A857C2"/>
    <w:rsid w:val="00A86897"/>
    <w:rsid w:val="00A87067"/>
    <w:rsid w:val="00A871F9"/>
    <w:rsid w:val="00A878AB"/>
    <w:rsid w:val="00A90028"/>
    <w:rsid w:val="00A909F0"/>
    <w:rsid w:val="00A912A1"/>
    <w:rsid w:val="00A91871"/>
    <w:rsid w:val="00A92D2E"/>
    <w:rsid w:val="00A933E9"/>
    <w:rsid w:val="00A93F90"/>
    <w:rsid w:val="00A94F55"/>
    <w:rsid w:val="00A955F1"/>
    <w:rsid w:val="00A95C9A"/>
    <w:rsid w:val="00A95E9F"/>
    <w:rsid w:val="00A96026"/>
    <w:rsid w:val="00A9672B"/>
    <w:rsid w:val="00A97983"/>
    <w:rsid w:val="00A97AD5"/>
    <w:rsid w:val="00A97BA5"/>
    <w:rsid w:val="00AA008E"/>
    <w:rsid w:val="00AA17E8"/>
    <w:rsid w:val="00AA1836"/>
    <w:rsid w:val="00AA1AF7"/>
    <w:rsid w:val="00AA28CF"/>
    <w:rsid w:val="00AA2F49"/>
    <w:rsid w:val="00AA34F6"/>
    <w:rsid w:val="00AA3974"/>
    <w:rsid w:val="00AA3E1A"/>
    <w:rsid w:val="00AA473A"/>
    <w:rsid w:val="00AA5715"/>
    <w:rsid w:val="00AA7071"/>
    <w:rsid w:val="00AA7274"/>
    <w:rsid w:val="00AA78FE"/>
    <w:rsid w:val="00AA7AA5"/>
    <w:rsid w:val="00AB038B"/>
    <w:rsid w:val="00AB09E9"/>
    <w:rsid w:val="00AB0A6D"/>
    <w:rsid w:val="00AB0F0A"/>
    <w:rsid w:val="00AB2518"/>
    <w:rsid w:val="00AB2641"/>
    <w:rsid w:val="00AB34B9"/>
    <w:rsid w:val="00AB387E"/>
    <w:rsid w:val="00AB396E"/>
    <w:rsid w:val="00AB3980"/>
    <w:rsid w:val="00AB52AB"/>
    <w:rsid w:val="00AB5446"/>
    <w:rsid w:val="00AB5A05"/>
    <w:rsid w:val="00AB6B82"/>
    <w:rsid w:val="00AB7228"/>
    <w:rsid w:val="00AB7F63"/>
    <w:rsid w:val="00AC1321"/>
    <w:rsid w:val="00AC1522"/>
    <w:rsid w:val="00AC1E49"/>
    <w:rsid w:val="00AC2875"/>
    <w:rsid w:val="00AC2DA3"/>
    <w:rsid w:val="00AC3A5E"/>
    <w:rsid w:val="00AC3CDC"/>
    <w:rsid w:val="00AC4018"/>
    <w:rsid w:val="00AC423B"/>
    <w:rsid w:val="00AC42E7"/>
    <w:rsid w:val="00AC43F3"/>
    <w:rsid w:val="00AC60B0"/>
    <w:rsid w:val="00AC6389"/>
    <w:rsid w:val="00AC7D59"/>
    <w:rsid w:val="00AD0592"/>
    <w:rsid w:val="00AD0D86"/>
    <w:rsid w:val="00AD1668"/>
    <w:rsid w:val="00AD261A"/>
    <w:rsid w:val="00AD294E"/>
    <w:rsid w:val="00AD33BD"/>
    <w:rsid w:val="00AD387A"/>
    <w:rsid w:val="00AD3DF0"/>
    <w:rsid w:val="00AD404F"/>
    <w:rsid w:val="00AD41B7"/>
    <w:rsid w:val="00AD4248"/>
    <w:rsid w:val="00AD45E1"/>
    <w:rsid w:val="00AD46FD"/>
    <w:rsid w:val="00AD4B5B"/>
    <w:rsid w:val="00AD6B45"/>
    <w:rsid w:val="00AD6E6C"/>
    <w:rsid w:val="00AD768F"/>
    <w:rsid w:val="00AE0323"/>
    <w:rsid w:val="00AE0794"/>
    <w:rsid w:val="00AE1B7E"/>
    <w:rsid w:val="00AE33A3"/>
    <w:rsid w:val="00AE3DA1"/>
    <w:rsid w:val="00AE3FE3"/>
    <w:rsid w:val="00AE4A38"/>
    <w:rsid w:val="00AE6600"/>
    <w:rsid w:val="00AE6CE8"/>
    <w:rsid w:val="00AE7547"/>
    <w:rsid w:val="00AE7720"/>
    <w:rsid w:val="00AE7D1C"/>
    <w:rsid w:val="00AF0B2B"/>
    <w:rsid w:val="00AF0B2E"/>
    <w:rsid w:val="00AF389A"/>
    <w:rsid w:val="00AF3C10"/>
    <w:rsid w:val="00AF4206"/>
    <w:rsid w:val="00AF5AC7"/>
    <w:rsid w:val="00AF5F08"/>
    <w:rsid w:val="00B00158"/>
    <w:rsid w:val="00B00809"/>
    <w:rsid w:val="00B00CA3"/>
    <w:rsid w:val="00B02276"/>
    <w:rsid w:val="00B02BBE"/>
    <w:rsid w:val="00B04559"/>
    <w:rsid w:val="00B05FB7"/>
    <w:rsid w:val="00B06515"/>
    <w:rsid w:val="00B068C9"/>
    <w:rsid w:val="00B0731E"/>
    <w:rsid w:val="00B074E5"/>
    <w:rsid w:val="00B07C0D"/>
    <w:rsid w:val="00B07ED5"/>
    <w:rsid w:val="00B10503"/>
    <w:rsid w:val="00B10A14"/>
    <w:rsid w:val="00B10B4B"/>
    <w:rsid w:val="00B124CF"/>
    <w:rsid w:val="00B12566"/>
    <w:rsid w:val="00B136A7"/>
    <w:rsid w:val="00B13CC6"/>
    <w:rsid w:val="00B14740"/>
    <w:rsid w:val="00B1482D"/>
    <w:rsid w:val="00B14E60"/>
    <w:rsid w:val="00B17736"/>
    <w:rsid w:val="00B17761"/>
    <w:rsid w:val="00B17AA5"/>
    <w:rsid w:val="00B2121A"/>
    <w:rsid w:val="00B21385"/>
    <w:rsid w:val="00B221D5"/>
    <w:rsid w:val="00B245B3"/>
    <w:rsid w:val="00B30059"/>
    <w:rsid w:val="00B31B7C"/>
    <w:rsid w:val="00B3275F"/>
    <w:rsid w:val="00B3328D"/>
    <w:rsid w:val="00B33313"/>
    <w:rsid w:val="00B34463"/>
    <w:rsid w:val="00B35455"/>
    <w:rsid w:val="00B35891"/>
    <w:rsid w:val="00B35E79"/>
    <w:rsid w:val="00B36730"/>
    <w:rsid w:val="00B36D14"/>
    <w:rsid w:val="00B379BD"/>
    <w:rsid w:val="00B37DF7"/>
    <w:rsid w:val="00B4000A"/>
    <w:rsid w:val="00B40FFD"/>
    <w:rsid w:val="00B41AE6"/>
    <w:rsid w:val="00B42447"/>
    <w:rsid w:val="00B428E6"/>
    <w:rsid w:val="00B42A00"/>
    <w:rsid w:val="00B43954"/>
    <w:rsid w:val="00B4421A"/>
    <w:rsid w:val="00B4494B"/>
    <w:rsid w:val="00B44F74"/>
    <w:rsid w:val="00B456B3"/>
    <w:rsid w:val="00B45A8C"/>
    <w:rsid w:val="00B46BE7"/>
    <w:rsid w:val="00B477B6"/>
    <w:rsid w:val="00B504B8"/>
    <w:rsid w:val="00B50710"/>
    <w:rsid w:val="00B51D99"/>
    <w:rsid w:val="00B525AB"/>
    <w:rsid w:val="00B52FC1"/>
    <w:rsid w:val="00B53AFB"/>
    <w:rsid w:val="00B53E90"/>
    <w:rsid w:val="00B53F3D"/>
    <w:rsid w:val="00B540CD"/>
    <w:rsid w:val="00B542CC"/>
    <w:rsid w:val="00B562B3"/>
    <w:rsid w:val="00B56B76"/>
    <w:rsid w:val="00B57406"/>
    <w:rsid w:val="00B579F8"/>
    <w:rsid w:val="00B60543"/>
    <w:rsid w:val="00B61363"/>
    <w:rsid w:val="00B61F0E"/>
    <w:rsid w:val="00B6216C"/>
    <w:rsid w:val="00B62BEB"/>
    <w:rsid w:val="00B62C32"/>
    <w:rsid w:val="00B63396"/>
    <w:rsid w:val="00B6422E"/>
    <w:rsid w:val="00B644B3"/>
    <w:rsid w:val="00B6480D"/>
    <w:rsid w:val="00B65C3A"/>
    <w:rsid w:val="00B66AE1"/>
    <w:rsid w:val="00B66AF7"/>
    <w:rsid w:val="00B66B2D"/>
    <w:rsid w:val="00B66E6C"/>
    <w:rsid w:val="00B66EB1"/>
    <w:rsid w:val="00B70510"/>
    <w:rsid w:val="00B70B49"/>
    <w:rsid w:val="00B71321"/>
    <w:rsid w:val="00B717B5"/>
    <w:rsid w:val="00B71CE7"/>
    <w:rsid w:val="00B71ECA"/>
    <w:rsid w:val="00B7329B"/>
    <w:rsid w:val="00B73956"/>
    <w:rsid w:val="00B7412F"/>
    <w:rsid w:val="00B75662"/>
    <w:rsid w:val="00B758A2"/>
    <w:rsid w:val="00B76167"/>
    <w:rsid w:val="00B76781"/>
    <w:rsid w:val="00B80C57"/>
    <w:rsid w:val="00B80FDE"/>
    <w:rsid w:val="00B8149F"/>
    <w:rsid w:val="00B81751"/>
    <w:rsid w:val="00B82844"/>
    <w:rsid w:val="00B8323A"/>
    <w:rsid w:val="00B83DA5"/>
    <w:rsid w:val="00B83FA5"/>
    <w:rsid w:val="00B849FE"/>
    <w:rsid w:val="00B8515D"/>
    <w:rsid w:val="00B8551F"/>
    <w:rsid w:val="00B855C0"/>
    <w:rsid w:val="00B85A92"/>
    <w:rsid w:val="00B866B7"/>
    <w:rsid w:val="00B87695"/>
    <w:rsid w:val="00B87698"/>
    <w:rsid w:val="00B900DC"/>
    <w:rsid w:val="00B90359"/>
    <w:rsid w:val="00B9062E"/>
    <w:rsid w:val="00B9066B"/>
    <w:rsid w:val="00B90E5A"/>
    <w:rsid w:val="00B915A6"/>
    <w:rsid w:val="00B917DB"/>
    <w:rsid w:val="00B924B9"/>
    <w:rsid w:val="00B9274C"/>
    <w:rsid w:val="00B928DE"/>
    <w:rsid w:val="00B92A39"/>
    <w:rsid w:val="00B92A5B"/>
    <w:rsid w:val="00B946A0"/>
    <w:rsid w:val="00B94A21"/>
    <w:rsid w:val="00B94C7B"/>
    <w:rsid w:val="00B9500B"/>
    <w:rsid w:val="00B951B4"/>
    <w:rsid w:val="00B95F6A"/>
    <w:rsid w:val="00B96738"/>
    <w:rsid w:val="00B96FF3"/>
    <w:rsid w:val="00B972DE"/>
    <w:rsid w:val="00B977FB"/>
    <w:rsid w:val="00BA044F"/>
    <w:rsid w:val="00BA04FC"/>
    <w:rsid w:val="00BA0B36"/>
    <w:rsid w:val="00BA0DF4"/>
    <w:rsid w:val="00BA0F9E"/>
    <w:rsid w:val="00BA1B94"/>
    <w:rsid w:val="00BA279B"/>
    <w:rsid w:val="00BA2DC8"/>
    <w:rsid w:val="00BA2F8E"/>
    <w:rsid w:val="00BA3C9D"/>
    <w:rsid w:val="00BA667F"/>
    <w:rsid w:val="00BA6CA0"/>
    <w:rsid w:val="00BA6D81"/>
    <w:rsid w:val="00BA7313"/>
    <w:rsid w:val="00BB0295"/>
    <w:rsid w:val="00BB0BA3"/>
    <w:rsid w:val="00BB15CD"/>
    <w:rsid w:val="00BB193D"/>
    <w:rsid w:val="00BB1A71"/>
    <w:rsid w:val="00BB4104"/>
    <w:rsid w:val="00BB44EE"/>
    <w:rsid w:val="00BB4D9B"/>
    <w:rsid w:val="00BB56B6"/>
    <w:rsid w:val="00BB7E60"/>
    <w:rsid w:val="00BC0E09"/>
    <w:rsid w:val="00BC1E68"/>
    <w:rsid w:val="00BC1F94"/>
    <w:rsid w:val="00BC2361"/>
    <w:rsid w:val="00BC2B76"/>
    <w:rsid w:val="00BC3604"/>
    <w:rsid w:val="00BC49C6"/>
    <w:rsid w:val="00BC4D23"/>
    <w:rsid w:val="00BC5964"/>
    <w:rsid w:val="00BC5D66"/>
    <w:rsid w:val="00BC65E1"/>
    <w:rsid w:val="00BC6932"/>
    <w:rsid w:val="00BC7420"/>
    <w:rsid w:val="00BD01AA"/>
    <w:rsid w:val="00BD25B8"/>
    <w:rsid w:val="00BD266B"/>
    <w:rsid w:val="00BD2ACF"/>
    <w:rsid w:val="00BD35A8"/>
    <w:rsid w:val="00BD37FC"/>
    <w:rsid w:val="00BD3E11"/>
    <w:rsid w:val="00BD49B8"/>
    <w:rsid w:val="00BD5465"/>
    <w:rsid w:val="00BD6261"/>
    <w:rsid w:val="00BD684E"/>
    <w:rsid w:val="00BD6F81"/>
    <w:rsid w:val="00BD7BC5"/>
    <w:rsid w:val="00BD7EEC"/>
    <w:rsid w:val="00BE0BC6"/>
    <w:rsid w:val="00BE11AC"/>
    <w:rsid w:val="00BE1823"/>
    <w:rsid w:val="00BE2AF3"/>
    <w:rsid w:val="00BE32A4"/>
    <w:rsid w:val="00BE3789"/>
    <w:rsid w:val="00BE3EC1"/>
    <w:rsid w:val="00BE407E"/>
    <w:rsid w:val="00BE4307"/>
    <w:rsid w:val="00BE5965"/>
    <w:rsid w:val="00BE632E"/>
    <w:rsid w:val="00BE6EE1"/>
    <w:rsid w:val="00BE705C"/>
    <w:rsid w:val="00BE75C6"/>
    <w:rsid w:val="00BE7838"/>
    <w:rsid w:val="00BE7C67"/>
    <w:rsid w:val="00BE7CA8"/>
    <w:rsid w:val="00BF000B"/>
    <w:rsid w:val="00BF0090"/>
    <w:rsid w:val="00BF0B42"/>
    <w:rsid w:val="00BF22F9"/>
    <w:rsid w:val="00BF2409"/>
    <w:rsid w:val="00BF4477"/>
    <w:rsid w:val="00BF67BE"/>
    <w:rsid w:val="00BF6DFD"/>
    <w:rsid w:val="00BF6E3B"/>
    <w:rsid w:val="00BF7693"/>
    <w:rsid w:val="00BF7871"/>
    <w:rsid w:val="00BF7BA7"/>
    <w:rsid w:val="00C00F41"/>
    <w:rsid w:val="00C00FE1"/>
    <w:rsid w:val="00C02208"/>
    <w:rsid w:val="00C0415E"/>
    <w:rsid w:val="00C04288"/>
    <w:rsid w:val="00C0484B"/>
    <w:rsid w:val="00C05453"/>
    <w:rsid w:val="00C0570D"/>
    <w:rsid w:val="00C0578E"/>
    <w:rsid w:val="00C06E3E"/>
    <w:rsid w:val="00C111E3"/>
    <w:rsid w:val="00C118E2"/>
    <w:rsid w:val="00C11D8B"/>
    <w:rsid w:val="00C12A02"/>
    <w:rsid w:val="00C12FBB"/>
    <w:rsid w:val="00C133DC"/>
    <w:rsid w:val="00C13574"/>
    <w:rsid w:val="00C136FF"/>
    <w:rsid w:val="00C138AF"/>
    <w:rsid w:val="00C14ED3"/>
    <w:rsid w:val="00C156A7"/>
    <w:rsid w:val="00C16D74"/>
    <w:rsid w:val="00C16FE3"/>
    <w:rsid w:val="00C17025"/>
    <w:rsid w:val="00C17122"/>
    <w:rsid w:val="00C1755C"/>
    <w:rsid w:val="00C20FA0"/>
    <w:rsid w:val="00C21679"/>
    <w:rsid w:val="00C21A21"/>
    <w:rsid w:val="00C21BC7"/>
    <w:rsid w:val="00C21D48"/>
    <w:rsid w:val="00C21EB8"/>
    <w:rsid w:val="00C22A1A"/>
    <w:rsid w:val="00C22A4D"/>
    <w:rsid w:val="00C238AC"/>
    <w:rsid w:val="00C24D81"/>
    <w:rsid w:val="00C269F1"/>
    <w:rsid w:val="00C30944"/>
    <w:rsid w:val="00C32763"/>
    <w:rsid w:val="00C33010"/>
    <w:rsid w:val="00C34838"/>
    <w:rsid w:val="00C36084"/>
    <w:rsid w:val="00C36EE3"/>
    <w:rsid w:val="00C375C8"/>
    <w:rsid w:val="00C37D7A"/>
    <w:rsid w:val="00C37DAC"/>
    <w:rsid w:val="00C40213"/>
    <w:rsid w:val="00C40C44"/>
    <w:rsid w:val="00C40E40"/>
    <w:rsid w:val="00C41618"/>
    <w:rsid w:val="00C4175D"/>
    <w:rsid w:val="00C41856"/>
    <w:rsid w:val="00C41A20"/>
    <w:rsid w:val="00C42018"/>
    <w:rsid w:val="00C4296C"/>
    <w:rsid w:val="00C43ACD"/>
    <w:rsid w:val="00C43C21"/>
    <w:rsid w:val="00C43C8D"/>
    <w:rsid w:val="00C44334"/>
    <w:rsid w:val="00C44A42"/>
    <w:rsid w:val="00C46C7A"/>
    <w:rsid w:val="00C50E6E"/>
    <w:rsid w:val="00C513D7"/>
    <w:rsid w:val="00C51531"/>
    <w:rsid w:val="00C516CE"/>
    <w:rsid w:val="00C51C57"/>
    <w:rsid w:val="00C52D0B"/>
    <w:rsid w:val="00C53367"/>
    <w:rsid w:val="00C533A4"/>
    <w:rsid w:val="00C5344C"/>
    <w:rsid w:val="00C5439E"/>
    <w:rsid w:val="00C5520D"/>
    <w:rsid w:val="00C55FEF"/>
    <w:rsid w:val="00C561AF"/>
    <w:rsid w:val="00C5680C"/>
    <w:rsid w:val="00C56AFE"/>
    <w:rsid w:val="00C56B26"/>
    <w:rsid w:val="00C57122"/>
    <w:rsid w:val="00C57902"/>
    <w:rsid w:val="00C6072D"/>
    <w:rsid w:val="00C60C27"/>
    <w:rsid w:val="00C60C34"/>
    <w:rsid w:val="00C615EF"/>
    <w:rsid w:val="00C617F7"/>
    <w:rsid w:val="00C63059"/>
    <w:rsid w:val="00C638C6"/>
    <w:rsid w:val="00C656AE"/>
    <w:rsid w:val="00C66020"/>
    <w:rsid w:val="00C6622E"/>
    <w:rsid w:val="00C668B4"/>
    <w:rsid w:val="00C66A15"/>
    <w:rsid w:val="00C66BA7"/>
    <w:rsid w:val="00C67350"/>
    <w:rsid w:val="00C67AF1"/>
    <w:rsid w:val="00C67CA1"/>
    <w:rsid w:val="00C70339"/>
    <w:rsid w:val="00C70920"/>
    <w:rsid w:val="00C70964"/>
    <w:rsid w:val="00C735A3"/>
    <w:rsid w:val="00C73B94"/>
    <w:rsid w:val="00C73FF4"/>
    <w:rsid w:val="00C74012"/>
    <w:rsid w:val="00C741B6"/>
    <w:rsid w:val="00C74526"/>
    <w:rsid w:val="00C7452D"/>
    <w:rsid w:val="00C745BB"/>
    <w:rsid w:val="00C7724B"/>
    <w:rsid w:val="00C77BA2"/>
    <w:rsid w:val="00C80475"/>
    <w:rsid w:val="00C80740"/>
    <w:rsid w:val="00C82B34"/>
    <w:rsid w:val="00C83956"/>
    <w:rsid w:val="00C83AC9"/>
    <w:rsid w:val="00C83BBA"/>
    <w:rsid w:val="00C83C8E"/>
    <w:rsid w:val="00C85D9E"/>
    <w:rsid w:val="00C87087"/>
    <w:rsid w:val="00C8787D"/>
    <w:rsid w:val="00C91B82"/>
    <w:rsid w:val="00C924CF"/>
    <w:rsid w:val="00C9295B"/>
    <w:rsid w:val="00C92B38"/>
    <w:rsid w:val="00C92F69"/>
    <w:rsid w:val="00C932B1"/>
    <w:rsid w:val="00C93DC9"/>
    <w:rsid w:val="00C948F2"/>
    <w:rsid w:val="00C94B2D"/>
    <w:rsid w:val="00C94D34"/>
    <w:rsid w:val="00C94F4F"/>
    <w:rsid w:val="00C95A66"/>
    <w:rsid w:val="00CA0248"/>
    <w:rsid w:val="00CA0AD8"/>
    <w:rsid w:val="00CA14C0"/>
    <w:rsid w:val="00CA29C7"/>
    <w:rsid w:val="00CA2D51"/>
    <w:rsid w:val="00CA3A2B"/>
    <w:rsid w:val="00CA5C79"/>
    <w:rsid w:val="00CA6468"/>
    <w:rsid w:val="00CA6B13"/>
    <w:rsid w:val="00CA7D00"/>
    <w:rsid w:val="00CB0267"/>
    <w:rsid w:val="00CB0A0A"/>
    <w:rsid w:val="00CB0C1F"/>
    <w:rsid w:val="00CB0FB6"/>
    <w:rsid w:val="00CB130E"/>
    <w:rsid w:val="00CB196E"/>
    <w:rsid w:val="00CB21FA"/>
    <w:rsid w:val="00CB2D7B"/>
    <w:rsid w:val="00CB3578"/>
    <w:rsid w:val="00CB4E35"/>
    <w:rsid w:val="00CB61F3"/>
    <w:rsid w:val="00CB650F"/>
    <w:rsid w:val="00CB71EA"/>
    <w:rsid w:val="00CB7406"/>
    <w:rsid w:val="00CC060A"/>
    <w:rsid w:val="00CC1746"/>
    <w:rsid w:val="00CC1A11"/>
    <w:rsid w:val="00CC1A8D"/>
    <w:rsid w:val="00CC35B0"/>
    <w:rsid w:val="00CC382B"/>
    <w:rsid w:val="00CC3C49"/>
    <w:rsid w:val="00CC3F1C"/>
    <w:rsid w:val="00CC47BE"/>
    <w:rsid w:val="00CC5032"/>
    <w:rsid w:val="00CC5319"/>
    <w:rsid w:val="00CC55DB"/>
    <w:rsid w:val="00CC6188"/>
    <w:rsid w:val="00CC676B"/>
    <w:rsid w:val="00CC75CF"/>
    <w:rsid w:val="00CC77BD"/>
    <w:rsid w:val="00CC7B54"/>
    <w:rsid w:val="00CC7D10"/>
    <w:rsid w:val="00CC7FFD"/>
    <w:rsid w:val="00CD0FF4"/>
    <w:rsid w:val="00CD122B"/>
    <w:rsid w:val="00CD177B"/>
    <w:rsid w:val="00CD1D6A"/>
    <w:rsid w:val="00CD44CC"/>
    <w:rsid w:val="00CD5AA7"/>
    <w:rsid w:val="00CD630C"/>
    <w:rsid w:val="00CD6622"/>
    <w:rsid w:val="00CD68E2"/>
    <w:rsid w:val="00CD7633"/>
    <w:rsid w:val="00CE0450"/>
    <w:rsid w:val="00CE0BEA"/>
    <w:rsid w:val="00CE0D29"/>
    <w:rsid w:val="00CE0DFA"/>
    <w:rsid w:val="00CE1018"/>
    <w:rsid w:val="00CE1FB0"/>
    <w:rsid w:val="00CE24BB"/>
    <w:rsid w:val="00CE2651"/>
    <w:rsid w:val="00CE35B4"/>
    <w:rsid w:val="00CE429C"/>
    <w:rsid w:val="00CE4353"/>
    <w:rsid w:val="00CE4496"/>
    <w:rsid w:val="00CE4E82"/>
    <w:rsid w:val="00CE5E26"/>
    <w:rsid w:val="00CE5F75"/>
    <w:rsid w:val="00CE629E"/>
    <w:rsid w:val="00CE6EF5"/>
    <w:rsid w:val="00CE7339"/>
    <w:rsid w:val="00CE7EC5"/>
    <w:rsid w:val="00CF0143"/>
    <w:rsid w:val="00CF0C24"/>
    <w:rsid w:val="00CF1847"/>
    <w:rsid w:val="00CF19DA"/>
    <w:rsid w:val="00CF1BA2"/>
    <w:rsid w:val="00CF22FE"/>
    <w:rsid w:val="00CF2A2B"/>
    <w:rsid w:val="00CF3180"/>
    <w:rsid w:val="00CF394C"/>
    <w:rsid w:val="00CF4248"/>
    <w:rsid w:val="00CF4D83"/>
    <w:rsid w:val="00CF5C4B"/>
    <w:rsid w:val="00CF656E"/>
    <w:rsid w:val="00CF71F7"/>
    <w:rsid w:val="00D0029B"/>
    <w:rsid w:val="00D0063A"/>
    <w:rsid w:val="00D00971"/>
    <w:rsid w:val="00D00A05"/>
    <w:rsid w:val="00D00CC2"/>
    <w:rsid w:val="00D02505"/>
    <w:rsid w:val="00D02A14"/>
    <w:rsid w:val="00D02C24"/>
    <w:rsid w:val="00D032B3"/>
    <w:rsid w:val="00D03B53"/>
    <w:rsid w:val="00D04363"/>
    <w:rsid w:val="00D045E4"/>
    <w:rsid w:val="00D0534E"/>
    <w:rsid w:val="00D061DB"/>
    <w:rsid w:val="00D10130"/>
    <w:rsid w:val="00D12212"/>
    <w:rsid w:val="00D13AFC"/>
    <w:rsid w:val="00D13D12"/>
    <w:rsid w:val="00D13EBA"/>
    <w:rsid w:val="00D14DA1"/>
    <w:rsid w:val="00D14E59"/>
    <w:rsid w:val="00D1507C"/>
    <w:rsid w:val="00D1570B"/>
    <w:rsid w:val="00D15AC9"/>
    <w:rsid w:val="00D15BA6"/>
    <w:rsid w:val="00D15FDD"/>
    <w:rsid w:val="00D16DDE"/>
    <w:rsid w:val="00D16EDA"/>
    <w:rsid w:val="00D17A6A"/>
    <w:rsid w:val="00D17B10"/>
    <w:rsid w:val="00D17E61"/>
    <w:rsid w:val="00D17FBA"/>
    <w:rsid w:val="00D2176F"/>
    <w:rsid w:val="00D2215C"/>
    <w:rsid w:val="00D2349F"/>
    <w:rsid w:val="00D2393A"/>
    <w:rsid w:val="00D23E3D"/>
    <w:rsid w:val="00D24784"/>
    <w:rsid w:val="00D25538"/>
    <w:rsid w:val="00D262AE"/>
    <w:rsid w:val="00D2660D"/>
    <w:rsid w:val="00D26F85"/>
    <w:rsid w:val="00D27658"/>
    <w:rsid w:val="00D30532"/>
    <w:rsid w:val="00D31657"/>
    <w:rsid w:val="00D31EC2"/>
    <w:rsid w:val="00D322B7"/>
    <w:rsid w:val="00D32BAB"/>
    <w:rsid w:val="00D32C94"/>
    <w:rsid w:val="00D33B3B"/>
    <w:rsid w:val="00D33CD3"/>
    <w:rsid w:val="00D3444F"/>
    <w:rsid w:val="00D3449E"/>
    <w:rsid w:val="00D3488E"/>
    <w:rsid w:val="00D348C9"/>
    <w:rsid w:val="00D35688"/>
    <w:rsid w:val="00D36242"/>
    <w:rsid w:val="00D363F3"/>
    <w:rsid w:val="00D3673D"/>
    <w:rsid w:val="00D367E1"/>
    <w:rsid w:val="00D36A1F"/>
    <w:rsid w:val="00D36AF0"/>
    <w:rsid w:val="00D379E2"/>
    <w:rsid w:val="00D37B0B"/>
    <w:rsid w:val="00D4047F"/>
    <w:rsid w:val="00D40A33"/>
    <w:rsid w:val="00D40B23"/>
    <w:rsid w:val="00D40CDC"/>
    <w:rsid w:val="00D40E67"/>
    <w:rsid w:val="00D41498"/>
    <w:rsid w:val="00D43B44"/>
    <w:rsid w:val="00D44D11"/>
    <w:rsid w:val="00D46A35"/>
    <w:rsid w:val="00D46BCA"/>
    <w:rsid w:val="00D472E8"/>
    <w:rsid w:val="00D50DED"/>
    <w:rsid w:val="00D51C83"/>
    <w:rsid w:val="00D5346F"/>
    <w:rsid w:val="00D53B50"/>
    <w:rsid w:val="00D545CB"/>
    <w:rsid w:val="00D54A9D"/>
    <w:rsid w:val="00D57B46"/>
    <w:rsid w:val="00D60556"/>
    <w:rsid w:val="00D6070C"/>
    <w:rsid w:val="00D60BBB"/>
    <w:rsid w:val="00D6173E"/>
    <w:rsid w:val="00D63BF8"/>
    <w:rsid w:val="00D63E38"/>
    <w:rsid w:val="00D6411C"/>
    <w:rsid w:val="00D647A1"/>
    <w:rsid w:val="00D650CB"/>
    <w:rsid w:val="00D65F0F"/>
    <w:rsid w:val="00D663EC"/>
    <w:rsid w:val="00D67122"/>
    <w:rsid w:val="00D67259"/>
    <w:rsid w:val="00D70099"/>
    <w:rsid w:val="00D70D91"/>
    <w:rsid w:val="00D72C7F"/>
    <w:rsid w:val="00D736AA"/>
    <w:rsid w:val="00D74059"/>
    <w:rsid w:val="00D756B7"/>
    <w:rsid w:val="00D75779"/>
    <w:rsid w:val="00D772C3"/>
    <w:rsid w:val="00D81122"/>
    <w:rsid w:val="00D81378"/>
    <w:rsid w:val="00D818BA"/>
    <w:rsid w:val="00D831DA"/>
    <w:rsid w:val="00D83414"/>
    <w:rsid w:val="00D84909"/>
    <w:rsid w:val="00D853A0"/>
    <w:rsid w:val="00D86B18"/>
    <w:rsid w:val="00D86E1B"/>
    <w:rsid w:val="00D87BDE"/>
    <w:rsid w:val="00D9108B"/>
    <w:rsid w:val="00D91E79"/>
    <w:rsid w:val="00D91FC8"/>
    <w:rsid w:val="00D92368"/>
    <w:rsid w:val="00D92571"/>
    <w:rsid w:val="00D932B9"/>
    <w:rsid w:val="00D94042"/>
    <w:rsid w:val="00D96109"/>
    <w:rsid w:val="00DA04CF"/>
    <w:rsid w:val="00DA084E"/>
    <w:rsid w:val="00DA0F33"/>
    <w:rsid w:val="00DA1A1A"/>
    <w:rsid w:val="00DA1EDF"/>
    <w:rsid w:val="00DA2A8F"/>
    <w:rsid w:val="00DA36D6"/>
    <w:rsid w:val="00DA4FEE"/>
    <w:rsid w:val="00DA50C3"/>
    <w:rsid w:val="00DA5EF3"/>
    <w:rsid w:val="00DA62E9"/>
    <w:rsid w:val="00DA6627"/>
    <w:rsid w:val="00DA71A8"/>
    <w:rsid w:val="00DB170A"/>
    <w:rsid w:val="00DB1975"/>
    <w:rsid w:val="00DB1B14"/>
    <w:rsid w:val="00DB2857"/>
    <w:rsid w:val="00DB349E"/>
    <w:rsid w:val="00DB4925"/>
    <w:rsid w:val="00DB4B2B"/>
    <w:rsid w:val="00DB54A6"/>
    <w:rsid w:val="00DB5D12"/>
    <w:rsid w:val="00DB66C7"/>
    <w:rsid w:val="00DB6E69"/>
    <w:rsid w:val="00DB7240"/>
    <w:rsid w:val="00DC04FB"/>
    <w:rsid w:val="00DC4251"/>
    <w:rsid w:val="00DC4524"/>
    <w:rsid w:val="00DC4AAC"/>
    <w:rsid w:val="00DC52A7"/>
    <w:rsid w:val="00DC77EB"/>
    <w:rsid w:val="00DC7BC5"/>
    <w:rsid w:val="00DD09B1"/>
    <w:rsid w:val="00DD20F8"/>
    <w:rsid w:val="00DD2D6D"/>
    <w:rsid w:val="00DD3591"/>
    <w:rsid w:val="00DD3B6F"/>
    <w:rsid w:val="00DD4519"/>
    <w:rsid w:val="00DD52FD"/>
    <w:rsid w:val="00DD6772"/>
    <w:rsid w:val="00DE059B"/>
    <w:rsid w:val="00DE0734"/>
    <w:rsid w:val="00DE23B4"/>
    <w:rsid w:val="00DE2401"/>
    <w:rsid w:val="00DE287F"/>
    <w:rsid w:val="00DE3659"/>
    <w:rsid w:val="00DE3A96"/>
    <w:rsid w:val="00DE3C35"/>
    <w:rsid w:val="00DE3E36"/>
    <w:rsid w:val="00DE49D8"/>
    <w:rsid w:val="00DE526B"/>
    <w:rsid w:val="00DE5405"/>
    <w:rsid w:val="00DE5908"/>
    <w:rsid w:val="00DE6746"/>
    <w:rsid w:val="00DE6888"/>
    <w:rsid w:val="00DE6EB6"/>
    <w:rsid w:val="00DF15BE"/>
    <w:rsid w:val="00DF1A74"/>
    <w:rsid w:val="00DF1C7B"/>
    <w:rsid w:val="00DF2106"/>
    <w:rsid w:val="00DF2392"/>
    <w:rsid w:val="00DF3179"/>
    <w:rsid w:val="00DF3515"/>
    <w:rsid w:val="00DF3657"/>
    <w:rsid w:val="00DF38CE"/>
    <w:rsid w:val="00DF3F0F"/>
    <w:rsid w:val="00DF4118"/>
    <w:rsid w:val="00DF44E5"/>
    <w:rsid w:val="00DF4A3C"/>
    <w:rsid w:val="00DF511E"/>
    <w:rsid w:val="00DF53A6"/>
    <w:rsid w:val="00DF54F0"/>
    <w:rsid w:val="00DF71FD"/>
    <w:rsid w:val="00DF7CCA"/>
    <w:rsid w:val="00E012F3"/>
    <w:rsid w:val="00E01A36"/>
    <w:rsid w:val="00E01DEA"/>
    <w:rsid w:val="00E0579F"/>
    <w:rsid w:val="00E0593C"/>
    <w:rsid w:val="00E05B6E"/>
    <w:rsid w:val="00E06F40"/>
    <w:rsid w:val="00E1021A"/>
    <w:rsid w:val="00E10BA3"/>
    <w:rsid w:val="00E11183"/>
    <w:rsid w:val="00E11D5D"/>
    <w:rsid w:val="00E12D50"/>
    <w:rsid w:val="00E13060"/>
    <w:rsid w:val="00E13D60"/>
    <w:rsid w:val="00E15248"/>
    <w:rsid w:val="00E15F6E"/>
    <w:rsid w:val="00E16246"/>
    <w:rsid w:val="00E16BC2"/>
    <w:rsid w:val="00E17412"/>
    <w:rsid w:val="00E17674"/>
    <w:rsid w:val="00E17BDC"/>
    <w:rsid w:val="00E2049E"/>
    <w:rsid w:val="00E20605"/>
    <w:rsid w:val="00E20D98"/>
    <w:rsid w:val="00E217D5"/>
    <w:rsid w:val="00E22466"/>
    <w:rsid w:val="00E22D8F"/>
    <w:rsid w:val="00E24FF2"/>
    <w:rsid w:val="00E25A3D"/>
    <w:rsid w:val="00E26286"/>
    <w:rsid w:val="00E268EB"/>
    <w:rsid w:val="00E26FEA"/>
    <w:rsid w:val="00E2774C"/>
    <w:rsid w:val="00E301EB"/>
    <w:rsid w:val="00E30513"/>
    <w:rsid w:val="00E30576"/>
    <w:rsid w:val="00E31814"/>
    <w:rsid w:val="00E319CE"/>
    <w:rsid w:val="00E31A44"/>
    <w:rsid w:val="00E31F95"/>
    <w:rsid w:val="00E3220A"/>
    <w:rsid w:val="00E32AA4"/>
    <w:rsid w:val="00E33B21"/>
    <w:rsid w:val="00E34349"/>
    <w:rsid w:val="00E34AB4"/>
    <w:rsid w:val="00E3605B"/>
    <w:rsid w:val="00E36213"/>
    <w:rsid w:val="00E362C8"/>
    <w:rsid w:val="00E369CE"/>
    <w:rsid w:val="00E36B21"/>
    <w:rsid w:val="00E375DC"/>
    <w:rsid w:val="00E37EAE"/>
    <w:rsid w:val="00E40AD8"/>
    <w:rsid w:val="00E41ACD"/>
    <w:rsid w:val="00E41DF8"/>
    <w:rsid w:val="00E42607"/>
    <w:rsid w:val="00E42663"/>
    <w:rsid w:val="00E42E85"/>
    <w:rsid w:val="00E42F97"/>
    <w:rsid w:val="00E43667"/>
    <w:rsid w:val="00E44493"/>
    <w:rsid w:val="00E44AD1"/>
    <w:rsid w:val="00E44F4A"/>
    <w:rsid w:val="00E460E9"/>
    <w:rsid w:val="00E46F23"/>
    <w:rsid w:val="00E5009C"/>
    <w:rsid w:val="00E5057E"/>
    <w:rsid w:val="00E51372"/>
    <w:rsid w:val="00E51E11"/>
    <w:rsid w:val="00E521D9"/>
    <w:rsid w:val="00E52ECE"/>
    <w:rsid w:val="00E530E5"/>
    <w:rsid w:val="00E53460"/>
    <w:rsid w:val="00E56967"/>
    <w:rsid w:val="00E601A5"/>
    <w:rsid w:val="00E6078E"/>
    <w:rsid w:val="00E613E6"/>
    <w:rsid w:val="00E62F6B"/>
    <w:rsid w:val="00E630EA"/>
    <w:rsid w:val="00E64891"/>
    <w:rsid w:val="00E65072"/>
    <w:rsid w:val="00E6510A"/>
    <w:rsid w:val="00E658DC"/>
    <w:rsid w:val="00E65AAA"/>
    <w:rsid w:val="00E70398"/>
    <w:rsid w:val="00E704ED"/>
    <w:rsid w:val="00E70775"/>
    <w:rsid w:val="00E708C1"/>
    <w:rsid w:val="00E71684"/>
    <w:rsid w:val="00E71706"/>
    <w:rsid w:val="00E71A27"/>
    <w:rsid w:val="00E7337B"/>
    <w:rsid w:val="00E73422"/>
    <w:rsid w:val="00E734B7"/>
    <w:rsid w:val="00E7377F"/>
    <w:rsid w:val="00E73FD0"/>
    <w:rsid w:val="00E74C82"/>
    <w:rsid w:val="00E74CF4"/>
    <w:rsid w:val="00E74E68"/>
    <w:rsid w:val="00E74F05"/>
    <w:rsid w:val="00E7597A"/>
    <w:rsid w:val="00E75C93"/>
    <w:rsid w:val="00E76BB5"/>
    <w:rsid w:val="00E76C97"/>
    <w:rsid w:val="00E76DB5"/>
    <w:rsid w:val="00E7705F"/>
    <w:rsid w:val="00E77813"/>
    <w:rsid w:val="00E77F18"/>
    <w:rsid w:val="00E80D13"/>
    <w:rsid w:val="00E80F84"/>
    <w:rsid w:val="00E812FB"/>
    <w:rsid w:val="00E814F8"/>
    <w:rsid w:val="00E81988"/>
    <w:rsid w:val="00E819F3"/>
    <w:rsid w:val="00E833FC"/>
    <w:rsid w:val="00E83B78"/>
    <w:rsid w:val="00E843D7"/>
    <w:rsid w:val="00E84D35"/>
    <w:rsid w:val="00E8615C"/>
    <w:rsid w:val="00E87B7C"/>
    <w:rsid w:val="00E87C06"/>
    <w:rsid w:val="00E90C5A"/>
    <w:rsid w:val="00E9141E"/>
    <w:rsid w:val="00E919E6"/>
    <w:rsid w:val="00E91FDE"/>
    <w:rsid w:val="00E9231E"/>
    <w:rsid w:val="00E934B7"/>
    <w:rsid w:val="00E94298"/>
    <w:rsid w:val="00E94DE1"/>
    <w:rsid w:val="00E9502D"/>
    <w:rsid w:val="00E95FA7"/>
    <w:rsid w:val="00E960D1"/>
    <w:rsid w:val="00E9628C"/>
    <w:rsid w:val="00E97872"/>
    <w:rsid w:val="00EA1FEF"/>
    <w:rsid w:val="00EA21B9"/>
    <w:rsid w:val="00EA2468"/>
    <w:rsid w:val="00EA3C4F"/>
    <w:rsid w:val="00EA410F"/>
    <w:rsid w:val="00EA43D6"/>
    <w:rsid w:val="00EA5E21"/>
    <w:rsid w:val="00EA7A65"/>
    <w:rsid w:val="00EA7FB3"/>
    <w:rsid w:val="00EB0C2F"/>
    <w:rsid w:val="00EB0EE8"/>
    <w:rsid w:val="00EB0EFD"/>
    <w:rsid w:val="00EB1A8B"/>
    <w:rsid w:val="00EB37E7"/>
    <w:rsid w:val="00EB4B99"/>
    <w:rsid w:val="00EB57E4"/>
    <w:rsid w:val="00EB649C"/>
    <w:rsid w:val="00EB7747"/>
    <w:rsid w:val="00EC05E5"/>
    <w:rsid w:val="00EC0C88"/>
    <w:rsid w:val="00EC15DB"/>
    <w:rsid w:val="00EC2DEF"/>
    <w:rsid w:val="00EC3582"/>
    <w:rsid w:val="00EC4063"/>
    <w:rsid w:val="00EC4413"/>
    <w:rsid w:val="00EC4514"/>
    <w:rsid w:val="00EC4AF9"/>
    <w:rsid w:val="00EC4C67"/>
    <w:rsid w:val="00EC5522"/>
    <w:rsid w:val="00EC56DA"/>
    <w:rsid w:val="00EC5D69"/>
    <w:rsid w:val="00EC6001"/>
    <w:rsid w:val="00ED0819"/>
    <w:rsid w:val="00ED0AFC"/>
    <w:rsid w:val="00ED3055"/>
    <w:rsid w:val="00ED3C1E"/>
    <w:rsid w:val="00EE2EEE"/>
    <w:rsid w:val="00EE3309"/>
    <w:rsid w:val="00EE3B64"/>
    <w:rsid w:val="00EE404A"/>
    <w:rsid w:val="00EE41E6"/>
    <w:rsid w:val="00EE4B1B"/>
    <w:rsid w:val="00EE51EF"/>
    <w:rsid w:val="00EE59BC"/>
    <w:rsid w:val="00EE67C7"/>
    <w:rsid w:val="00EE7FA0"/>
    <w:rsid w:val="00EF00DC"/>
    <w:rsid w:val="00EF00FE"/>
    <w:rsid w:val="00EF0306"/>
    <w:rsid w:val="00EF2C1C"/>
    <w:rsid w:val="00EF2CA3"/>
    <w:rsid w:val="00EF4C3A"/>
    <w:rsid w:val="00EF4F46"/>
    <w:rsid w:val="00EF50D7"/>
    <w:rsid w:val="00EF6AAC"/>
    <w:rsid w:val="00EF6FE0"/>
    <w:rsid w:val="00F00557"/>
    <w:rsid w:val="00F01116"/>
    <w:rsid w:val="00F011B6"/>
    <w:rsid w:val="00F0195B"/>
    <w:rsid w:val="00F01A35"/>
    <w:rsid w:val="00F01D9C"/>
    <w:rsid w:val="00F02294"/>
    <w:rsid w:val="00F023E6"/>
    <w:rsid w:val="00F03629"/>
    <w:rsid w:val="00F04EB1"/>
    <w:rsid w:val="00F06C2D"/>
    <w:rsid w:val="00F06DAA"/>
    <w:rsid w:val="00F0799A"/>
    <w:rsid w:val="00F07D19"/>
    <w:rsid w:val="00F07D65"/>
    <w:rsid w:val="00F1072C"/>
    <w:rsid w:val="00F1148C"/>
    <w:rsid w:val="00F11BDE"/>
    <w:rsid w:val="00F123A5"/>
    <w:rsid w:val="00F1285A"/>
    <w:rsid w:val="00F12DB4"/>
    <w:rsid w:val="00F13E57"/>
    <w:rsid w:val="00F14929"/>
    <w:rsid w:val="00F15085"/>
    <w:rsid w:val="00F15A29"/>
    <w:rsid w:val="00F15D90"/>
    <w:rsid w:val="00F15ED1"/>
    <w:rsid w:val="00F17495"/>
    <w:rsid w:val="00F17633"/>
    <w:rsid w:val="00F17964"/>
    <w:rsid w:val="00F21274"/>
    <w:rsid w:val="00F21342"/>
    <w:rsid w:val="00F21351"/>
    <w:rsid w:val="00F21984"/>
    <w:rsid w:val="00F229A4"/>
    <w:rsid w:val="00F23468"/>
    <w:rsid w:val="00F24A73"/>
    <w:rsid w:val="00F24AB2"/>
    <w:rsid w:val="00F25137"/>
    <w:rsid w:val="00F256CA"/>
    <w:rsid w:val="00F26274"/>
    <w:rsid w:val="00F26BFC"/>
    <w:rsid w:val="00F274A1"/>
    <w:rsid w:val="00F27C78"/>
    <w:rsid w:val="00F303F8"/>
    <w:rsid w:val="00F30D11"/>
    <w:rsid w:val="00F31158"/>
    <w:rsid w:val="00F31288"/>
    <w:rsid w:val="00F31700"/>
    <w:rsid w:val="00F31E22"/>
    <w:rsid w:val="00F32764"/>
    <w:rsid w:val="00F32B24"/>
    <w:rsid w:val="00F33283"/>
    <w:rsid w:val="00F34F59"/>
    <w:rsid w:val="00F358E1"/>
    <w:rsid w:val="00F36B05"/>
    <w:rsid w:val="00F37078"/>
    <w:rsid w:val="00F37359"/>
    <w:rsid w:val="00F416FC"/>
    <w:rsid w:val="00F41AF6"/>
    <w:rsid w:val="00F41D46"/>
    <w:rsid w:val="00F42307"/>
    <w:rsid w:val="00F42F17"/>
    <w:rsid w:val="00F42F37"/>
    <w:rsid w:val="00F430C7"/>
    <w:rsid w:val="00F445FB"/>
    <w:rsid w:val="00F44BF0"/>
    <w:rsid w:val="00F45579"/>
    <w:rsid w:val="00F458AE"/>
    <w:rsid w:val="00F46476"/>
    <w:rsid w:val="00F46B5F"/>
    <w:rsid w:val="00F46D14"/>
    <w:rsid w:val="00F473F5"/>
    <w:rsid w:val="00F50B5A"/>
    <w:rsid w:val="00F5116C"/>
    <w:rsid w:val="00F51E9B"/>
    <w:rsid w:val="00F52AD2"/>
    <w:rsid w:val="00F52CA1"/>
    <w:rsid w:val="00F53403"/>
    <w:rsid w:val="00F550BC"/>
    <w:rsid w:val="00F5556F"/>
    <w:rsid w:val="00F567E4"/>
    <w:rsid w:val="00F57DD0"/>
    <w:rsid w:val="00F6081B"/>
    <w:rsid w:val="00F61471"/>
    <w:rsid w:val="00F61B5B"/>
    <w:rsid w:val="00F62109"/>
    <w:rsid w:val="00F62439"/>
    <w:rsid w:val="00F625B0"/>
    <w:rsid w:val="00F643B3"/>
    <w:rsid w:val="00F659FA"/>
    <w:rsid w:val="00F67E68"/>
    <w:rsid w:val="00F72C63"/>
    <w:rsid w:val="00F73435"/>
    <w:rsid w:val="00F74336"/>
    <w:rsid w:val="00F74954"/>
    <w:rsid w:val="00F74A62"/>
    <w:rsid w:val="00F75BAD"/>
    <w:rsid w:val="00F76916"/>
    <w:rsid w:val="00F76B9C"/>
    <w:rsid w:val="00F77314"/>
    <w:rsid w:val="00F77984"/>
    <w:rsid w:val="00F80426"/>
    <w:rsid w:val="00F80A16"/>
    <w:rsid w:val="00F81C9B"/>
    <w:rsid w:val="00F82DF3"/>
    <w:rsid w:val="00F83BCF"/>
    <w:rsid w:val="00F84E2E"/>
    <w:rsid w:val="00F850FC"/>
    <w:rsid w:val="00F85D65"/>
    <w:rsid w:val="00F87289"/>
    <w:rsid w:val="00F87929"/>
    <w:rsid w:val="00F90895"/>
    <w:rsid w:val="00F90C75"/>
    <w:rsid w:val="00F91137"/>
    <w:rsid w:val="00F9136F"/>
    <w:rsid w:val="00F916E5"/>
    <w:rsid w:val="00F92664"/>
    <w:rsid w:val="00F92AF3"/>
    <w:rsid w:val="00F92ED3"/>
    <w:rsid w:val="00F934A2"/>
    <w:rsid w:val="00F939B7"/>
    <w:rsid w:val="00F93D13"/>
    <w:rsid w:val="00F9549C"/>
    <w:rsid w:val="00F9621A"/>
    <w:rsid w:val="00F96C52"/>
    <w:rsid w:val="00F96DBA"/>
    <w:rsid w:val="00F97293"/>
    <w:rsid w:val="00F97724"/>
    <w:rsid w:val="00F97A38"/>
    <w:rsid w:val="00FA20AE"/>
    <w:rsid w:val="00FA2102"/>
    <w:rsid w:val="00FA267B"/>
    <w:rsid w:val="00FA2D83"/>
    <w:rsid w:val="00FA2F3C"/>
    <w:rsid w:val="00FA30C7"/>
    <w:rsid w:val="00FA39F1"/>
    <w:rsid w:val="00FA3C56"/>
    <w:rsid w:val="00FA4580"/>
    <w:rsid w:val="00FA4E71"/>
    <w:rsid w:val="00FA5A09"/>
    <w:rsid w:val="00FA6066"/>
    <w:rsid w:val="00FA61E6"/>
    <w:rsid w:val="00FA64F1"/>
    <w:rsid w:val="00FA7F14"/>
    <w:rsid w:val="00FB1281"/>
    <w:rsid w:val="00FB153E"/>
    <w:rsid w:val="00FB2ADF"/>
    <w:rsid w:val="00FB2E66"/>
    <w:rsid w:val="00FB34A1"/>
    <w:rsid w:val="00FB54BB"/>
    <w:rsid w:val="00FB6157"/>
    <w:rsid w:val="00FB6E4E"/>
    <w:rsid w:val="00FC0214"/>
    <w:rsid w:val="00FC07D5"/>
    <w:rsid w:val="00FC10FE"/>
    <w:rsid w:val="00FC1CBB"/>
    <w:rsid w:val="00FC2747"/>
    <w:rsid w:val="00FC27D8"/>
    <w:rsid w:val="00FC2E31"/>
    <w:rsid w:val="00FC30E7"/>
    <w:rsid w:val="00FC33D2"/>
    <w:rsid w:val="00FC3772"/>
    <w:rsid w:val="00FC3C16"/>
    <w:rsid w:val="00FC51A9"/>
    <w:rsid w:val="00FC5606"/>
    <w:rsid w:val="00FC5963"/>
    <w:rsid w:val="00FC5ADF"/>
    <w:rsid w:val="00FC5C59"/>
    <w:rsid w:val="00FD0E76"/>
    <w:rsid w:val="00FD1134"/>
    <w:rsid w:val="00FD1BD0"/>
    <w:rsid w:val="00FD2461"/>
    <w:rsid w:val="00FD298A"/>
    <w:rsid w:val="00FD2C37"/>
    <w:rsid w:val="00FD3563"/>
    <w:rsid w:val="00FD38F5"/>
    <w:rsid w:val="00FD4030"/>
    <w:rsid w:val="00FD4B47"/>
    <w:rsid w:val="00FD5163"/>
    <w:rsid w:val="00FD6113"/>
    <w:rsid w:val="00FD7633"/>
    <w:rsid w:val="00FD7819"/>
    <w:rsid w:val="00FD7964"/>
    <w:rsid w:val="00FE03F1"/>
    <w:rsid w:val="00FE04C6"/>
    <w:rsid w:val="00FE1627"/>
    <w:rsid w:val="00FE18FB"/>
    <w:rsid w:val="00FE1976"/>
    <w:rsid w:val="00FE267B"/>
    <w:rsid w:val="00FE4E54"/>
    <w:rsid w:val="00FE5A6E"/>
    <w:rsid w:val="00FE5E19"/>
    <w:rsid w:val="00FE6056"/>
    <w:rsid w:val="00FE6335"/>
    <w:rsid w:val="00FE7EC7"/>
    <w:rsid w:val="00FF0A4B"/>
    <w:rsid w:val="00FF0A56"/>
    <w:rsid w:val="00FF0B38"/>
    <w:rsid w:val="00FF20E3"/>
    <w:rsid w:val="00FF2710"/>
    <w:rsid w:val="00FF3276"/>
    <w:rsid w:val="00FF39F8"/>
    <w:rsid w:val="00FF3A87"/>
    <w:rsid w:val="00FF64B6"/>
    <w:rsid w:val="00FF65A4"/>
    <w:rsid w:val="00FF7438"/>
    <w:rsid w:val="00FF7A4C"/>
    <w:rsid w:val="02013D1E"/>
    <w:rsid w:val="04BDCC46"/>
    <w:rsid w:val="051D67EF"/>
    <w:rsid w:val="0917FCBE"/>
    <w:rsid w:val="1245349A"/>
    <w:rsid w:val="1BAB2036"/>
    <w:rsid w:val="1BB2084F"/>
    <w:rsid w:val="29AB0DD0"/>
    <w:rsid w:val="2B94BA79"/>
    <w:rsid w:val="2D38DD5E"/>
    <w:rsid w:val="2E042527"/>
    <w:rsid w:val="321B9600"/>
    <w:rsid w:val="33FE8D5E"/>
    <w:rsid w:val="3E497E35"/>
    <w:rsid w:val="41E25780"/>
    <w:rsid w:val="436B0622"/>
    <w:rsid w:val="451DE827"/>
    <w:rsid w:val="48EA9F83"/>
    <w:rsid w:val="4A32C557"/>
    <w:rsid w:val="4B1A67CA"/>
    <w:rsid w:val="4B352B02"/>
    <w:rsid w:val="4E9E0291"/>
    <w:rsid w:val="52B3CBD9"/>
    <w:rsid w:val="557754A5"/>
    <w:rsid w:val="55AEA369"/>
    <w:rsid w:val="5A3D1AE3"/>
    <w:rsid w:val="5D17B50A"/>
    <w:rsid w:val="6324B6F5"/>
    <w:rsid w:val="643B3E12"/>
    <w:rsid w:val="65287F81"/>
    <w:rsid w:val="65A7351A"/>
    <w:rsid w:val="6C9C002A"/>
    <w:rsid w:val="6D63D21D"/>
    <w:rsid w:val="6DC87115"/>
    <w:rsid w:val="6DCFB558"/>
    <w:rsid w:val="6F17E121"/>
    <w:rsid w:val="715619BB"/>
    <w:rsid w:val="73FEA49D"/>
    <w:rsid w:val="750DD571"/>
    <w:rsid w:val="769DBC6C"/>
    <w:rsid w:val="77397E9B"/>
    <w:rsid w:val="77947E57"/>
    <w:rsid w:val="7B89CD29"/>
    <w:rsid w:val="7BF80770"/>
    <w:rsid w:val="7DCBBB96"/>
    <w:rsid w:val="7E0D63A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146D97"/>
  <w15:docId w15:val="{26F30F30-16CA-4688-8D29-06625045AD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0F9E"/>
    <w:pPr>
      <w:keepLines/>
      <w:shd w:val="clear" w:color="FFFFFF" w:themeColor="background1" w:fill="auto"/>
      <w:spacing w:before="120" w:after="120" w:line="240" w:lineRule="auto"/>
      <w:jc w:val="both"/>
    </w:pPr>
    <w:rPr>
      <w:sz w:val="20"/>
      <w:szCs w:val="20"/>
      <w:shd w:val="clear" w:color="auto" w:fill="FFFFFF"/>
    </w:rPr>
  </w:style>
  <w:style w:type="paragraph" w:styleId="Heading1">
    <w:name w:val="heading 1"/>
    <w:basedOn w:val="Heading2"/>
    <w:next w:val="Normal"/>
    <w:link w:val="Heading1Char"/>
    <w:uiPriority w:val="9"/>
    <w:qFormat/>
    <w:rsid w:val="003D6696"/>
    <w:pPr>
      <w:pageBreakBefore/>
      <w:numPr>
        <w:ilvl w:val="0"/>
      </w:numPr>
      <w:outlineLvl w:val="0"/>
    </w:pPr>
    <w:rPr>
      <w:bCs/>
      <w:color w:val="1F4E79" w:themeColor="accent1" w:themeShade="80"/>
      <w:sz w:val="32"/>
    </w:rPr>
  </w:style>
  <w:style w:type="paragraph" w:styleId="Heading2">
    <w:name w:val="heading 2"/>
    <w:basedOn w:val="ListParagraph"/>
    <w:next w:val="Normal"/>
    <w:link w:val="Heading2Char"/>
    <w:uiPriority w:val="9"/>
    <w:unhideWhenUsed/>
    <w:qFormat/>
    <w:rsid w:val="00A34972"/>
    <w:pPr>
      <w:keepNext/>
      <w:numPr>
        <w:ilvl w:val="1"/>
        <w:numId w:val="6"/>
      </w:numPr>
      <w:spacing w:before="360" w:after="240"/>
      <w:outlineLvl w:val="1"/>
    </w:pPr>
    <w:rPr>
      <w:rFonts w:asciiTheme="majorHAnsi" w:hAnsiTheme="majorHAnsi"/>
      <w:b/>
      <w:color w:val="4472C4" w:themeColor="accent5"/>
      <w:sz w:val="30"/>
    </w:rPr>
  </w:style>
  <w:style w:type="paragraph" w:styleId="Heading3">
    <w:name w:val="heading 3"/>
    <w:basedOn w:val="Heading2"/>
    <w:next w:val="Normal"/>
    <w:link w:val="Heading3Char"/>
    <w:uiPriority w:val="9"/>
    <w:unhideWhenUsed/>
    <w:qFormat/>
    <w:rsid w:val="00F06C2D"/>
    <w:pPr>
      <w:numPr>
        <w:ilvl w:val="2"/>
      </w:numPr>
      <w:outlineLvl w:val="2"/>
    </w:pPr>
    <w:rPr>
      <w:sz w:val="28"/>
      <w:szCs w:val="22"/>
    </w:rPr>
  </w:style>
  <w:style w:type="paragraph" w:styleId="Heading4">
    <w:name w:val="heading 4"/>
    <w:basedOn w:val="Heading3"/>
    <w:next w:val="Normal"/>
    <w:link w:val="Heading4Char"/>
    <w:uiPriority w:val="9"/>
    <w:unhideWhenUsed/>
    <w:qFormat/>
    <w:rsid w:val="00E16BC2"/>
    <w:pPr>
      <w:outlineLvl w:val="3"/>
    </w:pPr>
    <w:rPr>
      <w:b w:val="0"/>
      <w:sz w:val="24"/>
    </w:rPr>
  </w:style>
  <w:style w:type="paragraph" w:styleId="Heading5">
    <w:name w:val="heading 5"/>
    <w:basedOn w:val="Normal"/>
    <w:next w:val="Normal"/>
    <w:link w:val="Heading5Char"/>
    <w:uiPriority w:val="9"/>
    <w:unhideWhenUsed/>
    <w:qFormat/>
    <w:rsid w:val="004C431C"/>
    <w:pPr>
      <w:keepNext/>
      <w:spacing w:before="200"/>
      <w:ind w:left="1339"/>
      <w:outlineLvl w:val="4"/>
    </w:pPr>
    <w:rPr>
      <w:rFonts w:asciiTheme="majorHAnsi" w:eastAsiaTheme="majorEastAsia" w:hAnsiTheme="majorHAnsi" w:cstheme="majorBidi"/>
      <w:color w:val="323E4F" w:themeColor="text2" w:themeShade="BF"/>
    </w:rPr>
  </w:style>
  <w:style w:type="paragraph" w:styleId="Heading6">
    <w:name w:val="heading 6"/>
    <w:basedOn w:val="Normal"/>
    <w:next w:val="Normal"/>
    <w:link w:val="Heading6Char"/>
    <w:uiPriority w:val="9"/>
    <w:unhideWhenUsed/>
    <w:qFormat/>
    <w:rsid w:val="000240B9"/>
    <w:pPr>
      <w:keepNext/>
      <w:numPr>
        <w:ilvl w:val="5"/>
        <w:numId w:val="6"/>
      </w:numPr>
      <w:spacing w:before="200"/>
      <w:outlineLvl w:val="5"/>
    </w:pPr>
    <w:rPr>
      <w:rFonts w:asciiTheme="majorHAnsi" w:eastAsiaTheme="majorEastAsia" w:hAnsiTheme="majorHAnsi" w:cstheme="majorBidi"/>
      <w:i/>
      <w:iCs/>
      <w:color w:val="323E4F" w:themeColor="text2" w:themeShade="BF"/>
    </w:rPr>
  </w:style>
  <w:style w:type="paragraph" w:styleId="Heading7">
    <w:name w:val="heading 7"/>
    <w:basedOn w:val="Normal"/>
    <w:next w:val="Normal"/>
    <w:link w:val="Heading7Char"/>
    <w:uiPriority w:val="9"/>
    <w:semiHidden/>
    <w:unhideWhenUsed/>
    <w:qFormat/>
    <w:rsid w:val="000240B9"/>
    <w:pPr>
      <w:keepNext/>
      <w:numPr>
        <w:ilvl w:val="6"/>
        <w:numId w:val="6"/>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0240B9"/>
    <w:pPr>
      <w:keepNext/>
      <w:numPr>
        <w:ilvl w:val="7"/>
        <w:numId w:val="6"/>
      </w:numPr>
      <w:spacing w:before="200"/>
      <w:outlineLvl w:val="7"/>
    </w:pPr>
    <w:rPr>
      <w:rFonts w:asciiTheme="majorHAnsi" w:eastAsiaTheme="majorEastAsia" w:hAnsiTheme="majorHAnsi" w:cstheme="majorBidi"/>
      <w:color w:val="404040" w:themeColor="text1" w:themeTint="BF"/>
    </w:rPr>
  </w:style>
  <w:style w:type="paragraph" w:styleId="Heading9">
    <w:name w:val="heading 9"/>
    <w:basedOn w:val="Normal"/>
    <w:next w:val="Normal"/>
    <w:link w:val="Heading9Char"/>
    <w:uiPriority w:val="9"/>
    <w:semiHidden/>
    <w:unhideWhenUsed/>
    <w:qFormat/>
    <w:rsid w:val="000240B9"/>
    <w:pPr>
      <w:keepNext/>
      <w:numPr>
        <w:ilvl w:val="8"/>
        <w:numId w:val="6"/>
      </w:numPr>
      <w:spacing w:before="200"/>
      <w:outlineLvl w:val="8"/>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H&amp;P List Paragraph,2"/>
    <w:basedOn w:val="Normal"/>
    <w:link w:val="ListParagraphChar"/>
    <w:uiPriority w:val="34"/>
    <w:qFormat/>
    <w:rsid w:val="008A272D"/>
    <w:pPr>
      <w:numPr>
        <w:numId w:val="4"/>
      </w:numPr>
      <w:contextualSpacing/>
    </w:pPr>
  </w:style>
  <w:style w:type="character" w:customStyle="1" w:styleId="Heading1Char">
    <w:name w:val="Heading 1 Char"/>
    <w:basedOn w:val="DefaultParagraphFont"/>
    <w:link w:val="Heading1"/>
    <w:uiPriority w:val="9"/>
    <w:rsid w:val="003D6696"/>
    <w:rPr>
      <w:rFonts w:asciiTheme="majorHAnsi" w:hAnsiTheme="majorHAnsi"/>
      <w:b/>
      <w:bCs/>
      <w:color w:val="1F4E79" w:themeColor="accent1" w:themeShade="80"/>
      <w:sz w:val="32"/>
      <w:szCs w:val="20"/>
      <w:shd w:val="clear" w:color="FFFFFF" w:themeColor="background1" w:fill="auto"/>
    </w:rPr>
  </w:style>
  <w:style w:type="character" w:customStyle="1" w:styleId="Heading2Char">
    <w:name w:val="Heading 2 Char"/>
    <w:basedOn w:val="DefaultParagraphFont"/>
    <w:link w:val="Heading2"/>
    <w:uiPriority w:val="9"/>
    <w:rsid w:val="00A34972"/>
    <w:rPr>
      <w:rFonts w:asciiTheme="majorHAnsi" w:hAnsiTheme="majorHAnsi"/>
      <w:b/>
      <w:color w:val="4472C4" w:themeColor="accent5"/>
      <w:sz w:val="30"/>
      <w:szCs w:val="20"/>
      <w:shd w:val="clear" w:color="FFFFFF" w:themeColor="background1" w:fill="auto"/>
    </w:rPr>
  </w:style>
  <w:style w:type="character" w:styleId="Hyperlink">
    <w:name w:val="Hyperlink"/>
    <w:basedOn w:val="DefaultParagraphFont"/>
    <w:uiPriority w:val="99"/>
    <w:unhideWhenUsed/>
    <w:rsid w:val="00C5344C"/>
    <w:rPr>
      <w:color w:val="0563C1" w:themeColor="hyperlink"/>
      <w:u w:val="single"/>
    </w:rPr>
  </w:style>
  <w:style w:type="paragraph" w:styleId="Header">
    <w:name w:val="header"/>
    <w:basedOn w:val="Normal"/>
    <w:link w:val="HeaderChar"/>
    <w:uiPriority w:val="99"/>
    <w:unhideWhenUsed/>
    <w:rsid w:val="00C8787D"/>
    <w:pPr>
      <w:pBdr>
        <w:bottom w:val="single" w:sz="4" w:space="1" w:color="767171" w:themeColor="background2" w:themeShade="80"/>
      </w:pBdr>
      <w:tabs>
        <w:tab w:val="center" w:pos="4153"/>
        <w:tab w:val="right" w:pos="8306"/>
      </w:tabs>
      <w:spacing w:before="0"/>
      <w:jc w:val="right"/>
    </w:pPr>
    <w:rPr>
      <w:sz w:val="18"/>
      <w:szCs w:val="18"/>
    </w:rPr>
  </w:style>
  <w:style w:type="paragraph" w:styleId="NoSpacing">
    <w:name w:val="No Spacing"/>
    <w:link w:val="NoSpacingChar"/>
    <w:uiPriority w:val="1"/>
    <w:qFormat/>
    <w:rsid w:val="000240B9"/>
    <w:pPr>
      <w:spacing w:after="0" w:line="240" w:lineRule="auto"/>
    </w:pPr>
  </w:style>
  <w:style w:type="character" w:customStyle="1" w:styleId="HeaderChar">
    <w:name w:val="Header Char"/>
    <w:basedOn w:val="DefaultParagraphFont"/>
    <w:link w:val="Header"/>
    <w:uiPriority w:val="99"/>
    <w:rsid w:val="00C8787D"/>
    <w:rPr>
      <w:sz w:val="18"/>
      <w:szCs w:val="18"/>
    </w:rPr>
  </w:style>
  <w:style w:type="paragraph" w:styleId="Footer">
    <w:name w:val="footer"/>
    <w:basedOn w:val="Normal"/>
    <w:link w:val="FooterChar"/>
    <w:uiPriority w:val="99"/>
    <w:unhideWhenUsed/>
    <w:rsid w:val="002559DD"/>
    <w:pPr>
      <w:tabs>
        <w:tab w:val="center" w:pos="4153"/>
        <w:tab w:val="right" w:pos="8306"/>
      </w:tabs>
      <w:spacing w:before="0"/>
    </w:pPr>
    <w:rPr>
      <w:noProof/>
    </w:rPr>
  </w:style>
  <w:style w:type="character" w:customStyle="1" w:styleId="FooterChar">
    <w:name w:val="Footer Char"/>
    <w:basedOn w:val="DefaultParagraphFont"/>
    <w:link w:val="Footer"/>
    <w:uiPriority w:val="99"/>
    <w:rsid w:val="002559DD"/>
    <w:rPr>
      <w:noProof/>
      <w:sz w:val="20"/>
    </w:rPr>
  </w:style>
  <w:style w:type="paragraph" w:customStyle="1" w:styleId="Tabletext">
    <w:name w:val="Table text"/>
    <w:basedOn w:val="Normal"/>
    <w:link w:val="TabletextChar"/>
    <w:qFormat/>
    <w:rsid w:val="0010421A"/>
    <w:pPr>
      <w:keepNext/>
      <w:spacing w:before="20" w:after="20"/>
      <w:ind w:hanging="45"/>
    </w:pPr>
    <w:rPr>
      <w:sz w:val="18"/>
      <w:szCs w:val="18"/>
    </w:rPr>
  </w:style>
  <w:style w:type="character" w:styleId="PlaceholderText">
    <w:name w:val="Placeholder Text"/>
    <w:basedOn w:val="DefaultParagraphFont"/>
    <w:uiPriority w:val="99"/>
    <w:semiHidden/>
    <w:rsid w:val="005D5BB9"/>
    <w:rPr>
      <w:color w:val="808080"/>
    </w:rPr>
  </w:style>
  <w:style w:type="character" w:customStyle="1" w:styleId="Heading3Char">
    <w:name w:val="Heading 3 Char"/>
    <w:basedOn w:val="DefaultParagraphFont"/>
    <w:link w:val="Heading3"/>
    <w:uiPriority w:val="9"/>
    <w:rsid w:val="00F06C2D"/>
    <w:rPr>
      <w:rFonts w:asciiTheme="majorHAnsi" w:hAnsiTheme="majorHAnsi"/>
      <w:b/>
      <w:color w:val="4472C4" w:themeColor="accent5"/>
      <w:sz w:val="28"/>
      <w:shd w:val="clear" w:color="FFFFFF" w:themeColor="background1" w:fill="auto"/>
    </w:rPr>
  </w:style>
  <w:style w:type="character" w:customStyle="1" w:styleId="Heading4Char">
    <w:name w:val="Heading 4 Char"/>
    <w:basedOn w:val="DefaultParagraphFont"/>
    <w:link w:val="Heading4"/>
    <w:uiPriority w:val="9"/>
    <w:rsid w:val="00E16BC2"/>
    <w:rPr>
      <w:rFonts w:asciiTheme="majorHAnsi" w:hAnsiTheme="majorHAnsi"/>
      <w:color w:val="4472C4" w:themeColor="accent5"/>
      <w:sz w:val="24"/>
      <w:shd w:val="clear" w:color="FFFFFF" w:themeColor="background1" w:fill="auto"/>
    </w:rPr>
  </w:style>
  <w:style w:type="character" w:customStyle="1" w:styleId="Heading5Char">
    <w:name w:val="Heading 5 Char"/>
    <w:basedOn w:val="DefaultParagraphFont"/>
    <w:link w:val="Heading5"/>
    <w:uiPriority w:val="9"/>
    <w:rsid w:val="004C431C"/>
    <w:rPr>
      <w:rFonts w:asciiTheme="majorHAnsi" w:eastAsiaTheme="majorEastAsia" w:hAnsiTheme="majorHAnsi" w:cstheme="majorBidi"/>
      <w:color w:val="323E4F" w:themeColor="text2" w:themeShade="BF"/>
      <w:sz w:val="20"/>
      <w:szCs w:val="20"/>
      <w:shd w:val="clear" w:color="FFFFFF" w:themeColor="background1" w:fill="auto"/>
    </w:rPr>
  </w:style>
  <w:style w:type="character" w:customStyle="1" w:styleId="Heading6Char">
    <w:name w:val="Heading 6 Char"/>
    <w:basedOn w:val="DefaultParagraphFont"/>
    <w:link w:val="Heading6"/>
    <w:uiPriority w:val="9"/>
    <w:rsid w:val="000240B9"/>
    <w:rPr>
      <w:rFonts w:asciiTheme="majorHAnsi" w:eastAsiaTheme="majorEastAsia" w:hAnsiTheme="majorHAnsi" w:cstheme="majorBidi"/>
      <w:i/>
      <w:iCs/>
      <w:color w:val="323E4F" w:themeColor="text2" w:themeShade="BF"/>
      <w:sz w:val="20"/>
      <w:szCs w:val="20"/>
      <w:shd w:val="clear" w:color="FFFFFF" w:themeColor="background1" w:fill="auto"/>
    </w:rPr>
  </w:style>
  <w:style w:type="character" w:customStyle="1" w:styleId="Heading7Char">
    <w:name w:val="Heading 7 Char"/>
    <w:basedOn w:val="DefaultParagraphFont"/>
    <w:link w:val="Heading7"/>
    <w:uiPriority w:val="9"/>
    <w:semiHidden/>
    <w:rsid w:val="000240B9"/>
    <w:rPr>
      <w:rFonts w:asciiTheme="majorHAnsi" w:eastAsiaTheme="majorEastAsia" w:hAnsiTheme="majorHAnsi" w:cstheme="majorBidi"/>
      <w:i/>
      <w:iCs/>
      <w:color w:val="404040" w:themeColor="text1" w:themeTint="BF"/>
      <w:sz w:val="20"/>
      <w:szCs w:val="20"/>
      <w:shd w:val="clear" w:color="FFFFFF" w:themeColor="background1" w:fill="auto"/>
    </w:rPr>
  </w:style>
  <w:style w:type="character" w:customStyle="1" w:styleId="Heading8Char">
    <w:name w:val="Heading 8 Char"/>
    <w:basedOn w:val="DefaultParagraphFont"/>
    <w:link w:val="Heading8"/>
    <w:uiPriority w:val="9"/>
    <w:semiHidden/>
    <w:rsid w:val="000240B9"/>
    <w:rPr>
      <w:rFonts w:asciiTheme="majorHAnsi" w:eastAsiaTheme="majorEastAsia" w:hAnsiTheme="majorHAnsi" w:cstheme="majorBidi"/>
      <w:color w:val="404040" w:themeColor="text1" w:themeTint="BF"/>
      <w:sz w:val="20"/>
      <w:szCs w:val="20"/>
      <w:shd w:val="clear" w:color="FFFFFF" w:themeColor="background1" w:fill="auto"/>
    </w:rPr>
  </w:style>
  <w:style w:type="character" w:customStyle="1" w:styleId="Heading9Char">
    <w:name w:val="Heading 9 Char"/>
    <w:basedOn w:val="DefaultParagraphFont"/>
    <w:link w:val="Heading9"/>
    <w:uiPriority w:val="9"/>
    <w:semiHidden/>
    <w:rsid w:val="000240B9"/>
    <w:rPr>
      <w:rFonts w:asciiTheme="majorHAnsi" w:eastAsiaTheme="majorEastAsia" w:hAnsiTheme="majorHAnsi" w:cstheme="majorBidi"/>
      <w:i/>
      <w:iCs/>
      <w:color w:val="404040" w:themeColor="text1" w:themeTint="BF"/>
      <w:sz w:val="20"/>
      <w:szCs w:val="20"/>
      <w:shd w:val="clear" w:color="FFFFFF" w:themeColor="background1" w:fill="auto"/>
    </w:rPr>
  </w:style>
  <w:style w:type="paragraph" w:styleId="Caption">
    <w:name w:val="caption"/>
    <w:basedOn w:val="Normal"/>
    <w:next w:val="Normal"/>
    <w:uiPriority w:val="35"/>
    <w:unhideWhenUsed/>
    <w:qFormat/>
    <w:rsid w:val="004C22B7"/>
    <w:pPr>
      <w:keepNext/>
    </w:pPr>
    <w:rPr>
      <w:i/>
      <w:iCs/>
      <w:color w:val="1F4E79" w:themeColor="accent1" w:themeShade="80"/>
      <w:sz w:val="18"/>
      <w:szCs w:val="18"/>
    </w:rPr>
  </w:style>
  <w:style w:type="paragraph" w:styleId="Title">
    <w:name w:val="Title"/>
    <w:basedOn w:val="Normal"/>
    <w:next w:val="Normal"/>
    <w:link w:val="TitleChar"/>
    <w:uiPriority w:val="10"/>
    <w:qFormat/>
    <w:rsid w:val="004C22B7"/>
    <w:pPr>
      <w:contextualSpacing/>
      <w:jc w:val="center"/>
    </w:pPr>
    <w:rPr>
      <w:rFonts w:asciiTheme="majorHAnsi" w:eastAsiaTheme="majorEastAsia" w:hAnsiTheme="majorHAnsi" w:cstheme="majorBidi"/>
      <w:color w:val="000000" w:themeColor="text1"/>
      <w:sz w:val="56"/>
      <w:szCs w:val="56"/>
    </w:rPr>
  </w:style>
  <w:style w:type="character" w:customStyle="1" w:styleId="TitleChar">
    <w:name w:val="Title Char"/>
    <w:basedOn w:val="DefaultParagraphFont"/>
    <w:link w:val="Title"/>
    <w:uiPriority w:val="10"/>
    <w:rsid w:val="004C22B7"/>
    <w:rPr>
      <w:rFonts w:asciiTheme="majorHAnsi" w:eastAsiaTheme="majorEastAsia" w:hAnsiTheme="majorHAnsi" w:cstheme="majorBidi"/>
      <w:color w:val="000000" w:themeColor="text1"/>
      <w:sz w:val="56"/>
      <w:szCs w:val="56"/>
    </w:rPr>
  </w:style>
  <w:style w:type="paragraph" w:styleId="Subtitle">
    <w:name w:val="Subtitle"/>
    <w:basedOn w:val="Normal"/>
    <w:next w:val="Normal"/>
    <w:link w:val="SubtitleChar"/>
    <w:uiPriority w:val="11"/>
    <w:qFormat/>
    <w:rsid w:val="004C22B7"/>
    <w:pPr>
      <w:numPr>
        <w:ilvl w:val="1"/>
      </w:numPr>
      <w:ind w:firstLine="567"/>
      <w:jc w:val="center"/>
    </w:pPr>
    <w:rPr>
      <w:color w:val="5A5A5A" w:themeColor="text1" w:themeTint="A5"/>
      <w:spacing w:val="10"/>
    </w:rPr>
  </w:style>
  <w:style w:type="character" w:customStyle="1" w:styleId="SubtitleChar">
    <w:name w:val="Subtitle Char"/>
    <w:basedOn w:val="DefaultParagraphFont"/>
    <w:link w:val="Subtitle"/>
    <w:uiPriority w:val="11"/>
    <w:rsid w:val="004C22B7"/>
    <w:rPr>
      <w:color w:val="5A5A5A" w:themeColor="text1" w:themeTint="A5"/>
      <w:spacing w:val="10"/>
      <w:sz w:val="24"/>
      <w:szCs w:val="24"/>
    </w:rPr>
  </w:style>
  <w:style w:type="character" w:styleId="Strong">
    <w:name w:val="Strong"/>
    <w:basedOn w:val="DefaultParagraphFont"/>
    <w:uiPriority w:val="22"/>
    <w:qFormat/>
    <w:rsid w:val="000240B9"/>
    <w:rPr>
      <w:b/>
      <w:bCs/>
      <w:color w:val="000000" w:themeColor="text1"/>
    </w:rPr>
  </w:style>
  <w:style w:type="character" w:styleId="Emphasis">
    <w:name w:val="Emphasis"/>
    <w:basedOn w:val="DefaultParagraphFont"/>
    <w:uiPriority w:val="20"/>
    <w:qFormat/>
    <w:rsid w:val="000240B9"/>
    <w:rPr>
      <w:i/>
      <w:iCs/>
      <w:color w:val="auto"/>
    </w:rPr>
  </w:style>
  <w:style w:type="character" w:customStyle="1" w:styleId="NoSpacingChar">
    <w:name w:val="No Spacing Char"/>
    <w:basedOn w:val="DefaultParagraphFont"/>
    <w:link w:val="NoSpacing"/>
    <w:uiPriority w:val="1"/>
    <w:rsid w:val="000240B9"/>
  </w:style>
  <w:style w:type="character" w:customStyle="1" w:styleId="ListParagraphChar">
    <w:name w:val="List Paragraph Char"/>
    <w:aliases w:val="H&amp;P List Paragraph Char,2 Char"/>
    <w:link w:val="ListParagraph"/>
    <w:uiPriority w:val="34"/>
    <w:qFormat/>
    <w:rsid w:val="008A272D"/>
    <w:rPr>
      <w:sz w:val="20"/>
      <w:szCs w:val="20"/>
      <w:shd w:val="clear" w:color="FFFFFF" w:themeColor="background1" w:fill="auto"/>
    </w:rPr>
  </w:style>
  <w:style w:type="paragraph" w:styleId="Quote">
    <w:name w:val="Quote"/>
    <w:basedOn w:val="Normal"/>
    <w:next w:val="Normal"/>
    <w:link w:val="QuoteChar"/>
    <w:uiPriority w:val="29"/>
    <w:qFormat/>
    <w:rsid w:val="000240B9"/>
    <w:pPr>
      <w:spacing w:before="160"/>
      <w:ind w:left="720" w:right="720"/>
    </w:pPr>
    <w:rPr>
      <w:i/>
      <w:iCs/>
      <w:color w:val="000000" w:themeColor="text1"/>
    </w:rPr>
  </w:style>
  <w:style w:type="character" w:customStyle="1" w:styleId="QuoteChar">
    <w:name w:val="Quote Char"/>
    <w:basedOn w:val="DefaultParagraphFont"/>
    <w:link w:val="Quote"/>
    <w:uiPriority w:val="29"/>
    <w:rsid w:val="000240B9"/>
    <w:rPr>
      <w:i/>
      <w:iCs/>
      <w:color w:val="000000" w:themeColor="text1"/>
    </w:rPr>
  </w:style>
  <w:style w:type="paragraph" w:styleId="IntenseQuote">
    <w:name w:val="Intense Quote"/>
    <w:basedOn w:val="Normal"/>
    <w:next w:val="Normal"/>
    <w:link w:val="IntenseQuoteChar"/>
    <w:uiPriority w:val="30"/>
    <w:qFormat/>
    <w:rsid w:val="000240B9"/>
    <w:pPr>
      <w:pBdr>
        <w:top w:val="single" w:sz="24" w:space="1" w:color="F2F2F2" w:themeColor="background1" w:themeShade="F2"/>
        <w:bottom w:val="single" w:sz="24" w:space="1" w:color="F2F2F2" w:themeColor="background1" w:themeShade="F2"/>
      </w:pBdr>
      <w:shd w:val="clear" w:color="auto" w:fill="F2F2F2" w:themeFill="background1" w:themeFillShade="F2"/>
      <w:spacing w:before="240" w:after="240"/>
      <w:ind w:left="936" w:right="936"/>
      <w:jc w:val="center"/>
    </w:pPr>
    <w:rPr>
      <w:color w:val="000000" w:themeColor="text1"/>
    </w:rPr>
  </w:style>
  <w:style w:type="character" w:customStyle="1" w:styleId="IntenseQuoteChar">
    <w:name w:val="Intense Quote Char"/>
    <w:basedOn w:val="DefaultParagraphFont"/>
    <w:link w:val="IntenseQuote"/>
    <w:uiPriority w:val="30"/>
    <w:rsid w:val="000240B9"/>
    <w:rPr>
      <w:color w:val="000000" w:themeColor="text1"/>
      <w:shd w:val="clear" w:color="auto" w:fill="F2F2F2" w:themeFill="background1" w:themeFillShade="F2"/>
    </w:rPr>
  </w:style>
  <w:style w:type="character" w:styleId="SubtleEmphasis">
    <w:name w:val="Subtle Emphasis"/>
    <w:basedOn w:val="DefaultParagraphFont"/>
    <w:uiPriority w:val="19"/>
    <w:qFormat/>
    <w:rsid w:val="000240B9"/>
    <w:rPr>
      <w:i/>
      <w:iCs/>
      <w:color w:val="404040" w:themeColor="text1" w:themeTint="BF"/>
    </w:rPr>
  </w:style>
  <w:style w:type="character" w:styleId="IntenseEmphasis">
    <w:name w:val="Intense Emphasis"/>
    <w:basedOn w:val="DefaultParagraphFont"/>
    <w:uiPriority w:val="21"/>
    <w:qFormat/>
    <w:rsid w:val="000240B9"/>
    <w:rPr>
      <w:b/>
      <w:bCs/>
      <w:i/>
      <w:iCs/>
      <w:caps/>
    </w:rPr>
  </w:style>
  <w:style w:type="character" w:styleId="SubtleReference">
    <w:name w:val="Subtle Reference"/>
    <w:basedOn w:val="DefaultParagraphFont"/>
    <w:uiPriority w:val="31"/>
    <w:qFormat/>
    <w:rsid w:val="000240B9"/>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0240B9"/>
    <w:rPr>
      <w:b/>
      <w:bCs/>
      <w:smallCaps/>
      <w:u w:val="single"/>
    </w:rPr>
  </w:style>
  <w:style w:type="character" w:styleId="BookTitle">
    <w:name w:val="Book Title"/>
    <w:basedOn w:val="DefaultParagraphFont"/>
    <w:uiPriority w:val="33"/>
    <w:qFormat/>
    <w:rsid w:val="000240B9"/>
    <w:rPr>
      <w:b w:val="0"/>
      <w:bCs w:val="0"/>
      <w:smallCaps/>
      <w:spacing w:val="5"/>
    </w:rPr>
  </w:style>
  <w:style w:type="paragraph" w:styleId="TOCHeading">
    <w:name w:val="TOC Heading"/>
    <w:basedOn w:val="Heading1"/>
    <w:next w:val="Normal"/>
    <w:uiPriority w:val="39"/>
    <w:unhideWhenUsed/>
    <w:qFormat/>
    <w:rsid w:val="000240B9"/>
    <w:pPr>
      <w:ind w:left="0" w:firstLine="0"/>
      <w:outlineLvl w:val="9"/>
    </w:pPr>
    <w:rPr>
      <w:b w:val="0"/>
      <w:bCs w:val="0"/>
      <w:smallCaps/>
    </w:rPr>
  </w:style>
  <w:style w:type="character" w:customStyle="1" w:styleId="InlineQuote">
    <w:name w:val="Inline Quote"/>
    <w:basedOn w:val="DefaultParagraphFont"/>
    <w:uiPriority w:val="1"/>
    <w:qFormat/>
    <w:rsid w:val="000240B9"/>
    <w:rPr>
      <w:i/>
    </w:rPr>
  </w:style>
  <w:style w:type="character" w:customStyle="1" w:styleId="TabletextChar">
    <w:name w:val="Table text Char"/>
    <w:basedOn w:val="DefaultParagraphFont"/>
    <w:link w:val="Tabletext"/>
    <w:rsid w:val="0010421A"/>
    <w:rPr>
      <w:sz w:val="18"/>
      <w:szCs w:val="18"/>
    </w:rPr>
  </w:style>
  <w:style w:type="paragraph" w:customStyle="1" w:styleId="Forbidden">
    <w:name w:val="Forbidden"/>
    <w:basedOn w:val="Normal"/>
    <w:link w:val="ForbiddenChar"/>
    <w:rsid w:val="0005511E"/>
    <w:pPr>
      <w:numPr>
        <w:numId w:val="1"/>
      </w:numPr>
      <w:tabs>
        <w:tab w:val="left" w:pos="0"/>
      </w:tabs>
    </w:pPr>
    <w:rPr>
      <w:i/>
      <w:color w:val="800000"/>
    </w:rPr>
  </w:style>
  <w:style w:type="paragraph" w:customStyle="1" w:styleId="PictureText">
    <w:name w:val="Picture Text"/>
    <w:basedOn w:val="Normal"/>
    <w:link w:val="PictureTextChar"/>
    <w:qFormat/>
    <w:rsid w:val="002559DD"/>
    <w:rPr>
      <w:noProof/>
      <w:lang w:eastAsia="lv-LV"/>
    </w:rPr>
  </w:style>
  <w:style w:type="character" w:customStyle="1" w:styleId="ForbiddenChar">
    <w:name w:val="Forbidden Char"/>
    <w:basedOn w:val="ListParagraphChar"/>
    <w:link w:val="Forbidden"/>
    <w:rsid w:val="0005511E"/>
    <w:rPr>
      <w:i/>
      <w:color w:val="800000"/>
      <w:sz w:val="20"/>
      <w:szCs w:val="20"/>
      <w:shd w:val="clear" w:color="FFFFFF" w:themeColor="background1" w:fill="auto"/>
    </w:rPr>
  </w:style>
  <w:style w:type="paragraph" w:styleId="TOC1">
    <w:name w:val="toc 1"/>
    <w:basedOn w:val="Normal"/>
    <w:next w:val="Normal"/>
    <w:autoRedefine/>
    <w:uiPriority w:val="39"/>
    <w:unhideWhenUsed/>
    <w:rsid w:val="00F91137"/>
    <w:pPr>
      <w:tabs>
        <w:tab w:val="left" w:pos="440"/>
        <w:tab w:val="right" w:leader="dot" w:pos="8296"/>
      </w:tabs>
      <w:spacing w:before="40" w:after="40"/>
    </w:pPr>
  </w:style>
  <w:style w:type="character" w:customStyle="1" w:styleId="PictureTextChar">
    <w:name w:val="Picture Text Char"/>
    <w:basedOn w:val="DefaultParagraphFont"/>
    <w:link w:val="PictureText"/>
    <w:rsid w:val="002559DD"/>
    <w:rPr>
      <w:noProof/>
      <w:lang w:eastAsia="lv-LV"/>
    </w:rPr>
  </w:style>
  <w:style w:type="paragraph" w:styleId="TOC2">
    <w:name w:val="toc 2"/>
    <w:basedOn w:val="Normal"/>
    <w:next w:val="Normal"/>
    <w:autoRedefine/>
    <w:uiPriority w:val="39"/>
    <w:unhideWhenUsed/>
    <w:rsid w:val="00736349"/>
    <w:pPr>
      <w:tabs>
        <w:tab w:val="left" w:pos="880"/>
        <w:tab w:val="right" w:leader="dot" w:pos="8296"/>
      </w:tabs>
      <w:spacing w:before="40" w:after="40"/>
      <w:ind w:left="238"/>
    </w:pPr>
  </w:style>
  <w:style w:type="paragraph" w:styleId="TOC3">
    <w:name w:val="toc 3"/>
    <w:basedOn w:val="Normal"/>
    <w:next w:val="Normal"/>
    <w:autoRedefine/>
    <w:uiPriority w:val="39"/>
    <w:unhideWhenUsed/>
    <w:rsid w:val="001B12D6"/>
    <w:pPr>
      <w:spacing w:after="100"/>
      <w:ind w:left="482"/>
    </w:pPr>
  </w:style>
  <w:style w:type="paragraph" w:styleId="TOC4">
    <w:name w:val="toc 4"/>
    <w:basedOn w:val="Normal"/>
    <w:next w:val="Normal"/>
    <w:autoRedefine/>
    <w:uiPriority w:val="39"/>
    <w:unhideWhenUsed/>
    <w:rsid w:val="001B12D6"/>
    <w:pPr>
      <w:spacing w:after="100"/>
      <w:ind w:left="720"/>
    </w:pPr>
  </w:style>
  <w:style w:type="paragraph" w:customStyle="1" w:styleId="Important">
    <w:name w:val="Important"/>
    <w:basedOn w:val="Normal"/>
    <w:link w:val="ImportantChar"/>
    <w:rsid w:val="00D13EBA"/>
    <w:pPr>
      <w:numPr>
        <w:numId w:val="2"/>
      </w:numPr>
    </w:pPr>
    <w:rPr>
      <w:i/>
    </w:rPr>
  </w:style>
  <w:style w:type="character" w:customStyle="1" w:styleId="Reference">
    <w:name w:val="Reference"/>
    <w:basedOn w:val="DefaultParagraphFont"/>
    <w:uiPriority w:val="1"/>
    <w:qFormat/>
    <w:rsid w:val="0005511E"/>
    <w:rPr>
      <w:i w:val="0"/>
      <w:color w:val="1F4E79" w:themeColor="accent1" w:themeShade="80"/>
      <w:u w:val="single"/>
    </w:rPr>
  </w:style>
  <w:style w:type="character" w:customStyle="1" w:styleId="ImportantChar">
    <w:name w:val="Important Char"/>
    <w:basedOn w:val="ForbiddenChar"/>
    <w:link w:val="Important"/>
    <w:rsid w:val="00D13EBA"/>
    <w:rPr>
      <w:i/>
      <w:color w:val="800000"/>
      <w:sz w:val="20"/>
      <w:szCs w:val="20"/>
      <w:shd w:val="clear" w:color="FFFFFF" w:themeColor="background1" w:fill="auto"/>
    </w:rPr>
  </w:style>
  <w:style w:type="character" w:styleId="CommentReference">
    <w:name w:val="annotation reference"/>
    <w:basedOn w:val="DefaultParagraphFont"/>
    <w:uiPriority w:val="99"/>
    <w:semiHidden/>
    <w:unhideWhenUsed/>
    <w:rsid w:val="00C92B38"/>
    <w:rPr>
      <w:sz w:val="16"/>
      <w:szCs w:val="16"/>
    </w:rPr>
  </w:style>
  <w:style w:type="paragraph" w:styleId="CommentText">
    <w:name w:val="annotation text"/>
    <w:basedOn w:val="Normal"/>
    <w:link w:val="CommentTextChar"/>
    <w:uiPriority w:val="99"/>
    <w:unhideWhenUsed/>
    <w:rsid w:val="00C92B38"/>
  </w:style>
  <w:style w:type="character" w:customStyle="1" w:styleId="CommentTextChar">
    <w:name w:val="Comment Text Char"/>
    <w:basedOn w:val="DefaultParagraphFont"/>
    <w:link w:val="CommentText"/>
    <w:uiPriority w:val="99"/>
    <w:rsid w:val="00C92B38"/>
    <w:rPr>
      <w:sz w:val="20"/>
      <w:szCs w:val="20"/>
    </w:rPr>
  </w:style>
  <w:style w:type="paragraph" w:styleId="CommentSubject">
    <w:name w:val="annotation subject"/>
    <w:basedOn w:val="CommentText"/>
    <w:next w:val="CommentText"/>
    <w:link w:val="CommentSubjectChar"/>
    <w:uiPriority w:val="99"/>
    <w:semiHidden/>
    <w:unhideWhenUsed/>
    <w:rsid w:val="00C92B38"/>
    <w:rPr>
      <w:b/>
      <w:bCs/>
    </w:rPr>
  </w:style>
  <w:style w:type="character" w:customStyle="1" w:styleId="CommentSubjectChar">
    <w:name w:val="Comment Subject Char"/>
    <w:basedOn w:val="CommentTextChar"/>
    <w:link w:val="CommentSubject"/>
    <w:uiPriority w:val="99"/>
    <w:semiHidden/>
    <w:rsid w:val="00C92B38"/>
    <w:rPr>
      <w:b/>
      <w:bCs/>
      <w:sz w:val="20"/>
      <w:szCs w:val="20"/>
    </w:rPr>
  </w:style>
  <w:style w:type="paragraph" w:styleId="BalloonText">
    <w:name w:val="Balloon Text"/>
    <w:basedOn w:val="Normal"/>
    <w:link w:val="BalloonTextChar"/>
    <w:uiPriority w:val="99"/>
    <w:semiHidden/>
    <w:unhideWhenUsed/>
    <w:rsid w:val="00C92B38"/>
    <w:pPr>
      <w:spacing w:before="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92B38"/>
    <w:rPr>
      <w:rFonts w:ascii="Segoe UI" w:hAnsi="Segoe UI" w:cs="Segoe UI"/>
      <w:sz w:val="18"/>
      <w:szCs w:val="18"/>
    </w:rPr>
  </w:style>
  <w:style w:type="paragraph" w:customStyle="1" w:styleId="texttabularsk">
    <w:name w:val="text tabulā ar sk"/>
    <w:basedOn w:val="Normal"/>
    <w:qFormat/>
    <w:rsid w:val="001D71C4"/>
    <w:pPr>
      <w:spacing w:before="0"/>
      <w:ind w:left="34"/>
    </w:pPr>
    <w:rPr>
      <w:rFonts w:eastAsiaTheme="minorHAnsi"/>
      <w:bCs/>
    </w:rPr>
  </w:style>
  <w:style w:type="table" w:customStyle="1" w:styleId="GridTable1Light-Accent11">
    <w:name w:val="Grid Table 1 Light - Accent 11"/>
    <w:basedOn w:val="TableNormal"/>
    <w:uiPriority w:val="46"/>
    <w:rsid w:val="001D71C4"/>
    <w:pPr>
      <w:spacing w:after="0" w:line="240" w:lineRule="auto"/>
    </w:pPr>
    <w:rPr>
      <w:rFonts w:eastAsiaTheme="minorHAnsi"/>
      <w:lang w:eastAsia="lv-LV"/>
    </w:r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styleId="FootnoteText">
    <w:name w:val="footnote text"/>
    <w:aliases w:val="Footnote Text Char1,Footnote Text Char Char,Footnote Text Char1 Char Char,Footnote Text Char Char Char Char,Footnote Text Char1 Char Char1 Char Char,Footnote Text Char Char Char Char Char Char,Footnote Text Char1 Char Char1 Char,Footnote,f"/>
    <w:basedOn w:val="Normal"/>
    <w:link w:val="FootnoteTextChar"/>
    <w:uiPriority w:val="99"/>
    <w:unhideWhenUsed/>
    <w:rsid w:val="008A30A1"/>
    <w:pPr>
      <w:spacing w:before="60" w:line="276" w:lineRule="auto"/>
    </w:pPr>
    <w:rPr>
      <w:sz w:val="16"/>
      <w:lang w:eastAsia="lv-LV"/>
    </w:rPr>
  </w:style>
  <w:style w:type="character" w:customStyle="1" w:styleId="FootnoteTextChar">
    <w:name w:val="Footnote Text Char"/>
    <w:aliases w:val="Footnote Text Char1 Char,Footnote Text Char Char Char,Footnote Text Char1 Char Char Char,Footnote Text Char Char Char Char Char,Footnote Text Char1 Char Char1 Char Char Char,Footnote Text Char Char Char Char Char Char Char,f Char"/>
    <w:basedOn w:val="DefaultParagraphFont"/>
    <w:link w:val="FootnoteText"/>
    <w:uiPriority w:val="99"/>
    <w:rsid w:val="008A30A1"/>
    <w:rPr>
      <w:sz w:val="16"/>
      <w:szCs w:val="20"/>
      <w:shd w:val="clear" w:color="FFFFFF" w:themeColor="background1" w:fill="auto"/>
      <w:lang w:eastAsia="lv-LV"/>
    </w:rPr>
  </w:style>
  <w:style w:type="character" w:styleId="FootnoteReference">
    <w:name w:val="footnote reference"/>
    <w:aliases w:val="Footnote Reference Number,Footnote symbol,Footnote Reference Superscript,Footnote Refernece,ftref,Odwołanie przypisu,BVI fnr,Footnotes refss,SUPERS,Ref,de nota al pie,-E Fußnotenzeichen,Footnote reference number,Times 10 Point,E,E FNZ"/>
    <w:basedOn w:val="DefaultParagraphFont"/>
    <w:link w:val="CharCharCharChar"/>
    <w:uiPriority w:val="99"/>
    <w:unhideWhenUsed/>
    <w:rsid w:val="009C3E06"/>
    <w:rPr>
      <w:vertAlign w:val="superscript"/>
    </w:rPr>
  </w:style>
  <w:style w:type="paragraph" w:customStyle="1" w:styleId="texttabbul">
    <w:name w:val="text tab_bul"/>
    <w:basedOn w:val="Normal"/>
    <w:qFormat/>
    <w:rsid w:val="009C3E06"/>
    <w:pPr>
      <w:keepLines w:val="0"/>
      <w:tabs>
        <w:tab w:val="num" w:pos="360"/>
      </w:tabs>
      <w:spacing w:before="0"/>
      <w:ind w:left="313" w:hanging="313"/>
    </w:pPr>
    <w:rPr>
      <w:rFonts w:eastAsia="Times New Roman"/>
      <w:lang w:eastAsia="lv-LV"/>
    </w:rPr>
  </w:style>
  <w:style w:type="table" w:styleId="TableGrid">
    <w:name w:val="Table Grid"/>
    <w:basedOn w:val="TableNormal"/>
    <w:uiPriority w:val="39"/>
    <w:rsid w:val="007D1E90"/>
    <w:pPr>
      <w:spacing w:after="0" w:line="240" w:lineRule="auto"/>
    </w:pPr>
    <w:rPr>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9E2B97"/>
  </w:style>
  <w:style w:type="paragraph" w:customStyle="1" w:styleId="zmjums">
    <w:name w:val="zīmējums"/>
    <w:basedOn w:val="Normal"/>
    <w:qFormat/>
    <w:rsid w:val="00E70775"/>
    <w:pPr>
      <w:spacing w:before="0"/>
    </w:pPr>
    <w:rPr>
      <w:sz w:val="22"/>
      <w:szCs w:val="22"/>
      <w:shd w:val="clear" w:color="auto" w:fill="auto"/>
      <w:lang w:eastAsia="lv-LV"/>
    </w:rPr>
  </w:style>
  <w:style w:type="paragraph" w:customStyle="1" w:styleId="Termins">
    <w:name w:val="Termins"/>
    <w:basedOn w:val="Normal"/>
    <w:link w:val="TerminsChar"/>
    <w:qFormat/>
    <w:rsid w:val="00745C7F"/>
    <w:rPr>
      <w:b/>
      <w:caps/>
      <w:lang w:eastAsia="lv-LV"/>
    </w:rPr>
  </w:style>
  <w:style w:type="paragraph" w:customStyle="1" w:styleId="BulletsF">
    <w:name w:val="Bullets F"/>
    <w:basedOn w:val="Normal"/>
    <w:link w:val="BulletsFChar"/>
    <w:qFormat/>
    <w:rsid w:val="00D30532"/>
    <w:pPr>
      <w:keepLines w:val="0"/>
      <w:numPr>
        <w:numId w:val="3"/>
      </w:numPr>
      <w:spacing w:before="0" w:after="60"/>
    </w:pPr>
    <w:rPr>
      <w:shd w:val="clear" w:color="auto" w:fill="auto"/>
      <w:lang w:eastAsia="lv-LV"/>
    </w:rPr>
  </w:style>
  <w:style w:type="character" w:customStyle="1" w:styleId="TerminsChar">
    <w:name w:val="Termins Char"/>
    <w:basedOn w:val="DefaultParagraphFont"/>
    <w:link w:val="Termins"/>
    <w:rsid w:val="00745C7F"/>
    <w:rPr>
      <w:b/>
      <w:caps/>
      <w:sz w:val="20"/>
      <w:szCs w:val="20"/>
      <w:lang w:eastAsia="lv-LV"/>
    </w:rPr>
  </w:style>
  <w:style w:type="character" w:customStyle="1" w:styleId="BulletsFChar">
    <w:name w:val="Bullets F Char"/>
    <w:basedOn w:val="ListParagraphChar"/>
    <w:link w:val="BulletsF"/>
    <w:rsid w:val="00D30532"/>
    <w:rPr>
      <w:sz w:val="20"/>
      <w:szCs w:val="20"/>
      <w:shd w:val="clear" w:color="FFFFFF" w:themeColor="background1" w:fill="auto"/>
      <w:lang w:eastAsia="lv-LV"/>
    </w:rPr>
  </w:style>
  <w:style w:type="character" w:customStyle="1" w:styleId="AutorsAngliski">
    <w:name w:val="AutorsAngliski"/>
    <w:basedOn w:val="DefaultParagraphFont"/>
    <w:uiPriority w:val="1"/>
    <w:qFormat/>
    <w:rsid w:val="00745C7F"/>
    <w:rPr>
      <w:i/>
      <w:noProof/>
      <w:lang w:val="en-US"/>
    </w:rPr>
  </w:style>
  <w:style w:type="paragraph" w:customStyle="1" w:styleId="2LBulletsF">
    <w:name w:val="2.L.Bullets F"/>
    <w:basedOn w:val="BulletsF"/>
    <w:qFormat/>
    <w:rsid w:val="00C16D74"/>
    <w:pPr>
      <w:numPr>
        <w:ilvl w:val="1"/>
      </w:numPr>
    </w:pPr>
  </w:style>
  <w:style w:type="paragraph" w:styleId="Bibliography">
    <w:name w:val="Bibliography"/>
    <w:basedOn w:val="Normal"/>
    <w:next w:val="Normal"/>
    <w:uiPriority w:val="37"/>
    <w:unhideWhenUsed/>
    <w:rsid w:val="00745C7F"/>
    <w:pPr>
      <w:ind w:left="720" w:hanging="720"/>
    </w:pPr>
  </w:style>
  <w:style w:type="paragraph" w:customStyle="1" w:styleId="Chart">
    <w:name w:val="Chart"/>
    <w:basedOn w:val="Normal"/>
    <w:next w:val="Normal"/>
    <w:link w:val="ChartChar"/>
    <w:qFormat/>
    <w:rsid w:val="0010421A"/>
    <w:pPr>
      <w:jc w:val="center"/>
    </w:pPr>
    <w:rPr>
      <w:noProof/>
      <w:lang w:eastAsia="lv-LV"/>
    </w:rPr>
  </w:style>
  <w:style w:type="character" w:customStyle="1" w:styleId="ChartChar">
    <w:name w:val="Chart Char"/>
    <w:basedOn w:val="DefaultParagraphFont"/>
    <w:link w:val="Chart"/>
    <w:rsid w:val="0010421A"/>
    <w:rPr>
      <w:noProof/>
      <w:sz w:val="20"/>
      <w:szCs w:val="20"/>
      <w:lang w:eastAsia="lv-LV"/>
    </w:rPr>
  </w:style>
  <w:style w:type="character" w:styleId="FollowedHyperlink">
    <w:name w:val="FollowedHyperlink"/>
    <w:basedOn w:val="DefaultParagraphFont"/>
    <w:uiPriority w:val="99"/>
    <w:semiHidden/>
    <w:unhideWhenUsed/>
    <w:rsid w:val="00527A3B"/>
    <w:rPr>
      <w:color w:val="954F72" w:themeColor="followedHyperlink"/>
      <w:u w:val="single"/>
    </w:rPr>
  </w:style>
  <w:style w:type="paragraph" w:customStyle="1" w:styleId="Program-Topic">
    <w:name w:val="Program-Topic"/>
    <w:basedOn w:val="Normal"/>
    <w:link w:val="Program-TopicChar"/>
    <w:qFormat/>
    <w:rsid w:val="00F274A1"/>
    <w:rPr>
      <w:b/>
      <w:color w:val="4472C4" w:themeColor="accent5"/>
      <w:lang w:eastAsia="lv-LV"/>
    </w:rPr>
  </w:style>
  <w:style w:type="character" w:customStyle="1" w:styleId="Program-TopicChar">
    <w:name w:val="Program-Topic Char"/>
    <w:basedOn w:val="DefaultParagraphFont"/>
    <w:link w:val="Program-Topic"/>
    <w:rsid w:val="00F274A1"/>
    <w:rPr>
      <w:b/>
      <w:color w:val="4472C4" w:themeColor="accent5"/>
      <w:sz w:val="20"/>
      <w:szCs w:val="20"/>
      <w:lang w:eastAsia="lv-LV"/>
    </w:rPr>
  </w:style>
  <w:style w:type="paragraph" w:styleId="TableofFigures">
    <w:name w:val="table of figures"/>
    <w:basedOn w:val="Normal"/>
    <w:next w:val="Normal"/>
    <w:uiPriority w:val="99"/>
    <w:unhideWhenUsed/>
    <w:rsid w:val="00F62109"/>
  </w:style>
  <w:style w:type="paragraph" w:styleId="Revision">
    <w:name w:val="Revision"/>
    <w:hidden/>
    <w:uiPriority w:val="99"/>
    <w:semiHidden/>
    <w:rsid w:val="006205C7"/>
    <w:pPr>
      <w:spacing w:after="0" w:line="240" w:lineRule="auto"/>
    </w:pPr>
    <w:rPr>
      <w:sz w:val="20"/>
      <w:szCs w:val="20"/>
      <w:shd w:val="clear" w:color="auto" w:fill="FFFFFF"/>
    </w:rPr>
  </w:style>
  <w:style w:type="paragraph" w:styleId="ListBullet">
    <w:name w:val="List Bullet"/>
    <w:basedOn w:val="Normal"/>
    <w:uiPriority w:val="99"/>
    <w:unhideWhenUsed/>
    <w:rsid w:val="002245AA"/>
    <w:pPr>
      <w:numPr>
        <w:numId w:val="5"/>
      </w:numPr>
      <w:contextualSpacing/>
    </w:pPr>
  </w:style>
  <w:style w:type="table" w:customStyle="1" w:styleId="PlainTable51">
    <w:name w:val="Plain Table 51"/>
    <w:basedOn w:val="TableNormal"/>
    <w:uiPriority w:val="45"/>
    <w:rsid w:val="009D284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41">
    <w:name w:val="Plain Table 41"/>
    <w:basedOn w:val="TableNormal"/>
    <w:uiPriority w:val="44"/>
    <w:rsid w:val="006F49D6"/>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Uzmumanosaukums">
    <w:name w:val="Uzņēmuma nosaukums"/>
    <w:basedOn w:val="Normal"/>
    <w:link w:val="UzmumanosaukumsChar"/>
    <w:qFormat/>
    <w:rsid w:val="0080382D"/>
    <w:pPr>
      <w:keepNext/>
    </w:pPr>
    <w:rPr>
      <w:b/>
      <w:color w:val="4472C4" w:themeColor="accent5"/>
    </w:rPr>
  </w:style>
  <w:style w:type="character" w:customStyle="1" w:styleId="UzmumanosaukumsChar">
    <w:name w:val="Uzņēmuma nosaukums Char"/>
    <w:basedOn w:val="DefaultParagraphFont"/>
    <w:link w:val="Uzmumanosaukums"/>
    <w:rsid w:val="0080382D"/>
    <w:rPr>
      <w:b/>
      <w:color w:val="4472C4" w:themeColor="accent5"/>
      <w:sz w:val="20"/>
      <w:szCs w:val="20"/>
    </w:rPr>
  </w:style>
  <w:style w:type="table" w:customStyle="1" w:styleId="GridTable1Light-Accent110">
    <w:name w:val="Grid Table 1 Light - Accent 11"/>
    <w:basedOn w:val="TableNormal"/>
    <w:uiPriority w:val="46"/>
    <w:rsid w:val="005E11CE"/>
    <w:pPr>
      <w:spacing w:after="0" w:line="240" w:lineRule="auto"/>
    </w:pPr>
    <w:rPr>
      <w:rFonts w:eastAsiaTheme="minorHAnsi"/>
    </w:r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TableGridLight1">
    <w:name w:val="Table Grid Light1"/>
    <w:basedOn w:val="TableNormal"/>
    <w:uiPriority w:val="40"/>
    <w:rsid w:val="00DE073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OC5">
    <w:name w:val="toc 5"/>
    <w:basedOn w:val="Normal"/>
    <w:next w:val="Normal"/>
    <w:autoRedefine/>
    <w:uiPriority w:val="39"/>
    <w:unhideWhenUsed/>
    <w:rsid w:val="001B12D6"/>
    <w:pPr>
      <w:keepLines w:val="0"/>
      <w:spacing w:before="0" w:after="100" w:line="259" w:lineRule="auto"/>
      <w:ind w:left="880"/>
    </w:pPr>
    <w:rPr>
      <w:sz w:val="22"/>
      <w:szCs w:val="22"/>
      <w:shd w:val="clear" w:color="auto" w:fill="auto"/>
      <w:lang w:val="en-US"/>
    </w:rPr>
  </w:style>
  <w:style w:type="paragraph" w:styleId="TOC6">
    <w:name w:val="toc 6"/>
    <w:basedOn w:val="Normal"/>
    <w:next w:val="Normal"/>
    <w:autoRedefine/>
    <w:uiPriority w:val="39"/>
    <w:unhideWhenUsed/>
    <w:rsid w:val="001B12D6"/>
    <w:pPr>
      <w:keepLines w:val="0"/>
      <w:spacing w:before="0" w:after="100" w:line="259" w:lineRule="auto"/>
      <w:ind w:left="1100"/>
    </w:pPr>
    <w:rPr>
      <w:sz w:val="22"/>
      <w:szCs w:val="22"/>
      <w:shd w:val="clear" w:color="auto" w:fill="auto"/>
      <w:lang w:val="en-US"/>
    </w:rPr>
  </w:style>
  <w:style w:type="paragraph" w:styleId="TOC7">
    <w:name w:val="toc 7"/>
    <w:basedOn w:val="Normal"/>
    <w:next w:val="Normal"/>
    <w:autoRedefine/>
    <w:uiPriority w:val="39"/>
    <w:unhideWhenUsed/>
    <w:rsid w:val="001B12D6"/>
    <w:pPr>
      <w:keepLines w:val="0"/>
      <w:spacing w:before="0" w:after="100" w:line="259" w:lineRule="auto"/>
      <w:ind w:left="1320"/>
    </w:pPr>
    <w:rPr>
      <w:sz w:val="22"/>
      <w:szCs w:val="22"/>
      <w:shd w:val="clear" w:color="auto" w:fill="auto"/>
      <w:lang w:val="en-US"/>
    </w:rPr>
  </w:style>
  <w:style w:type="paragraph" w:styleId="TOC8">
    <w:name w:val="toc 8"/>
    <w:basedOn w:val="Normal"/>
    <w:next w:val="Normal"/>
    <w:autoRedefine/>
    <w:uiPriority w:val="39"/>
    <w:unhideWhenUsed/>
    <w:rsid w:val="001B12D6"/>
    <w:pPr>
      <w:keepLines w:val="0"/>
      <w:spacing w:before="0" w:after="100" w:line="259" w:lineRule="auto"/>
      <w:ind w:left="1540"/>
    </w:pPr>
    <w:rPr>
      <w:sz w:val="22"/>
      <w:szCs w:val="22"/>
      <w:shd w:val="clear" w:color="auto" w:fill="auto"/>
      <w:lang w:val="en-US"/>
    </w:rPr>
  </w:style>
  <w:style w:type="paragraph" w:styleId="TOC9">
    <w:name w:val="toc 9"/>
    <w:basedOn w:val="Normal"/>
    <w:next w:val="Normal"/>
    <w:autoRedefine/>
    <w:uiPriority w:val="39"/>
    <w:unhideWhenUsed/>
    <w:rsid w:val="001B12D6"/>
    <w:pPr>
      <w:keepLines w:val="0"/>
      <w:spacing w:before="0" w:after="100" w:line="259" w:lineRule="auto"/>
      <w:ind w:left="1760"/>
    </w:pPr>
    <w:rPr>
      <w:sz w:val="22"/>
      <w:szCs w:val="22"/>
      <w:shd w:val="clear" w:color="auto" w:fill="auto"/>
      <w:lang w:val="en-US"/>
    </w:rPr>
  </w:style>
  <w:style w:type="table" w:customStyle="1" w:styleId="PlainTable510">
    <w:name w:val="Plain Table 51"/>
    <w:basedOn w:val="TableNormal"/>
    <w:uiPriority w:val="45"/>
    <w:rsid w:val="001B12D6"/>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410">
    <w:name w:val="Plain Table 41"/>
    <w:basedOn w:val="TableNormal"/>
    <w:uiPriority w:val="44"/>
    <w:rsid w:val="001B12D6"/>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Light10">
    <w:name w:val="Table Grid Light1"/>
    <w:basedOn w:val="TableNormal"/>
    <w:uiPriority w:val="40"/>
    <w:rsid w:val="001B12D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PageNumber">
    <w:name w:val="PageNumber"/>
    <w:basedOn w:val="Normal"/>
    <w:link w:val="PageNumberChar"/>
    <w:qFormat/>
    <w:rsid w:val="00863114"/>
    <w:pPr>
      <w:spacing w:before="0"/>
      <w:jc w:val="center"/>
    </w:pPr>
    <w:rPr>
      <w:rFonts w:ascii="Aharoni" w:hAnsi="Aharoni" w:cs="Aharoni"/>
      <w:sz w:val="30"/>
    </w:rPr>
  </w:style>
  <w:style w:type="paragraph" w:customStyle="1" w:styleId="HT1">
    <w:name w:val="HT1"/>
    <w:basedOn w:val="Normal"/>
    <w:link w:val="HT1Char"/>
    <w:qFormat/>
    <w:rsid w:val="00F91137"/>
    <w:rPr>
      <w:i/>
      <w:smallCaps/>
      <w:noProof/>
      <w:color w:val="5B9BD5" w:themeColor="accent1"/>
      <w:lang w:eastAsia="lv-LV"/>
    </w:rPr>
  </w:style>
  <w:style w:type="character" w:customStyle="1" w:styleId="PageNumberChar">
    <w:name w:val="PageNumber Char"/>
    <w:basedOn w:val="DefaultParagraphFont"/>
    <w:link w:val="PageNumber"/>
    <w:rsid w:val="00863114"/>
    <w:rPr>
      <w:rFonts w:ascii="Aharoni" w:hAnsi="Aharoni" w:cs="Aharoni"/>
      <w:sz w:val="30"/>
      <w:szCs w:val="20"/>
      <w:shd w:val="clear" w:color="FFFFFF" w:themeColor="background1" w:fill="auto"/>
    </w:rPr>
  </w:style>
  <w:style w:type="character" w:customStyle="1" w:styleId="HT1Char">
    <w:name w:val="HT1 Char"/>
    <w:basedOn w:val="DefaultParagraphFont"/>
    <w:link w:val="HT1"/>
    <w:rsid w:val="00F91137"/>
    <w:rPr>
      <w:i/>
      <w:smallCaps/>
      <w:noProof/>
      <w:color w:val="5B9BD5" w:themeColor="accent1"/>
      <w:sz w:val="20"/>
      <w:szCs w:val="20"/>
      <w:shd w:val="clear" w:color="FFFFFF" w:themeColor="background1" w:fill="auto"/>
      <w:lang w:eastAsia="lv-LV"/>
    </w:rPr>
  </w:style>
  <w:style w:type="paragraph" w:customStyle="1" w:styleId="TableParagraph">
    <w:name w:val="Table Paragraph"/>
    <w:basedOn w:val="Normal"/>
    <w:uiPriority w:val="1"/>
    <w:qFormat/>
    <w:rsid w:val="00315772"/>
    <w:pPr>
      <w:keepLines w:val="0"/>
      <w:widowControl w:val="0"/>
      <w:shd w:val="clear" w:color="auto" w:fill="auto"/>
      <w:spacing w:before="0"/>
    </w:pPr>
    <w:rPr>
      <w:rFonts w:eastAsiaTheme="minorHAnsi"/>
      <w:sz w:val="22"/>
      <w:szCs w:val="22"/>
      <w:shd w:val="clear" w:color="auto" w:fill="auto"/>
      <w:lang w:val="en-US"/>
    </w:rPr>
  </w:style>
  <w:style w:type="table" w:styleId="GridTable1Light-Accent1">
    <w:name w:val="Grid Table 1 Light Accent 1"/>
    <w:basedOn w:val="TableNormal"/>
    <w:uiPriority w:val="46"/>
    <w:rsid w:val="0076440D"/>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PlainTable5">
    <w:name w:val="Plain Table 5"/>
    <w:basedOn w:val="TableNormal"/>
    <w:uiPriority w:val="45"/>
    <w:rsid w:val="00DE3659"/>
    <w:pPr>
      <w:spacing w:after="0" w:line="240" w:lineRule="auto"/>
    </w:pPr>
    <w:rPr>
      <w:rFonts w:eastAsiaTheme="minorHAnsi"/>
      <w:lang w:val="en-GB"/>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numbering" w:customStyle="1" w:styleId="Headings3NEW">
    <w:name w:val="Headings 3 NEW"/>
    <w:uiPriority w:val="99"/>
    <w:rsid w:val="00DB2857"/>
    <w:pPr>
      <w:numPr>
        <w:numId w:val="7"/>
      </w:numPr>
    </w:pPr>
  </w:style>
  <w:style w:type="table" w:customStyle="1" w:styleId="GridTable1Light-Accent51">
    <w:name w:val="Grid Table 1 Light - Accent 51"/>
    <w:basedOn w:val="TableNormal"/>
    <w:uiPriority w:val="46"/>
    <w:rsid w:val="00165B7F"/>
    <w:pPr>
      <w:spacing w:after="0" w:line="240" w:lineRule="auto"/>
    </w:pPr>
    <w:rPr>
      <w:rFonts w:eastAsiaTheme="minorHAnsi"/>
    </w:r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paragraph" w:customStyle="1" w:styleId="NewletterBodyText">
    <w:name w:val="Newletter Body Text"/>
    <w:basedOn w:val="Normal"/>
    <w:qFormat/>
    <w:rsid w:val="00573DE4"/>
    <w:pPr>
      <w:keepLines w:val="0"/>
      <w:shd w:val="clear" w:color="auto" w:fill="auto"/>
      <w:spacing w:before="0" w:after="130" w:line="260" w:lineRule="exact"/>
      <w:ind w:left="144" w:right="144"/>
      <w:jc w:val="left"/>
    </w:pPr>
    <w:rPr>
      <w:rFonts w:eastAsia="Times New Roman" w:cs="Times New Roman"/>
      <w:sz w:val="17"/>
      <w:szCs w:val="22"/>
      <w:shd w:val="clear" w:color="auto" w:fill="auto"/>
      <w:lang w:val="en-US"/>
    </w:rPr>
  </w:style>
  <w:style w:type="table" w:customStyle="1" w:styleId="GridTable1Light-Accent12">
    <w:name w:val="Grid Table 1 Light - Accent 12"/>
    <w:basedOn w:val="TableNormal"/>
    <w:uiPriority w:val="46"/>
    <w:rsid w:val="00FB2ADF"/>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PlainTable52">
    <w:name w:val="Plain Table 52"/>
    <w:basedOn w:val="TableNormal"/>
    <w:uiPriority w:val="45"/>
    <w:rsid w:val="00FB2ADF"/>
    <w:pPr>
      <w:spacing w:after="0" w:line="240" w:lineRule="auto"/>
    </w:pPr>
    <w:rPr>
      <w:rFonts w:eastAsiaTheme="minorHAnsi"/>
      <w:lang w:val="en-GB"/>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CharCharCharChar">
    <w:name w:val="Char Char Char Char"/>
    <w:aliases w:val="Char2"/>
    <w:basedOn w:val="Normal"/>
    <w:next w:val="Normal"/>
    <w:link w:val="FootnoteReference"/>
    <w:uiPriority w:val="99"/>
    <w:rsid w:val="00FB2ADF"/>
    <w:pPr>
      <w:keepLines w:val="0"/>
      <w:shd w:val="clear" w:color="auto" w:fill="auto"/>
      <w:spacing w:before="200" w:after="160" w:line="240" w:lineRule="exact"/>
      <w:textAlignment w:val="baseline"/>
    </w:pPr>
    <w:rPr>
      <w:sz w:val="22"/>
      <w:szCs w:val="22"/>
      <w:shd w:val="clear" w:color="auto" w:fill="auto"/>
      <w:vertAlign w:val="superscript"/>
    </w:rPr>
  </w:style>
  <w:style w:type="table" w:styleId="GridTable3-Accent4">
    <w:name w:val="Grid Table 3 Accent 4"/>
    <w:basedOn w:val="TableNormal"/>
    <w:uiPriority w:val="48"/>
    <w:rsid w:val="00FB2ADF"/>
    <w:pPr>
      <w:spacing w:after="0" w:line="240" w:lineRule="auto"/>
    </w:pPr>
    <w:rPr>
      <w:rFonts w:eastAsiaTheme="minorHAnsi"/>
      <w:lang w:val="en-GB"/>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paragraph" w:customStyle="1" w:styleId="Style4">
    <w:name w:val="Style4"/>
    <w:basedOn w:val="Heading1"/>
    <w:autoRedefine/>
    <w:rsid w:val="00CE24BB"/>
    <w:pPr>
      <w:pageBreakBefore w:val="0"/>
      <w:framePr w:hSpace="180" w:wrap="around" w:vAnchor="text" w:hAnchor="margin" w:y="200"/>
      <w:numPr>
        <w:numId w:val="0"/>
      </w:numPr>
      <w:shd w:val="clear" w:color="auto" w:fill="auto"/>
      <w:spacing w:before="240" w:after="0"/>
      <w:contextualSpacing w:val="0"/>
      <w:jc w:val="left"/>
    </w:pPr>
    <w:rPr>
      <w:rFonts w:ascii="Times New Roman" w:eastAsia="Times New Roman" w:hAnsi="Times New Roman" w:cs="Times New Roman"/>
      <w:bCs w:val="0"/>
      <w:color w:val="auto"/>
      <w:sz w:val="22"/>
      <w:szCs w:val="32"/>
      <w:shd w:val="clear" w:color="auto" w:fill="auto"/>
    </w:rPr>
  </w:style>
  <w:style w:type="table" w:styleId="PlainTable3">
    <w:name w:val="Plain Table 3"/>
    <w:basedOn w:val="TableNormal"/>
    <w:uiPriority w:val="43"/>
    <w:rsid w:val="00A97AD5"/>
    <w:pPr>
      <w:spacing w:after="0" w:line="240" w:lineRule="auto"/>
    </w:pPr>
    <w:rPr>
      <w:rFonts w:eastAsiaTheme="minorHAnsi"/>
      <w:lang w:val="en-GB"/>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AttlsChar">
    <w:name w:val="Attēls Char"/>
    <w:basedOn w:val="DefaultParagraphFont"/>
    <w:link w:val="Attls"/>
    <w:locked/>
    <w:rsid w:val="004A78A9"/>
    <w:rPr>
      <w:rFonts w:ascii="Times New Roman" w:hAnsi="Times New Roman" w:cs="Times New Roman"/>
      <w:noProof/>
      <w:sz w:val="24"/>
      <w:szCs w:val="24"/>
      <w:u w:val="single"/>
    </w:rPr>
  </w:style>
  <w:style w:type="paragraph" w:customStyle="1" w:styleId="Attls">
    <w:name w:val="Attēls"/>
    <w:basedOn w:val="Normal"/>
    <w:link w:val="AttlsChar"/>
    <w:qFormat/>
    <w:rsid w:val="004A78A9"/>
    <w:pPr>
      <w:keepLines w:val="0"/>
      <w:shd w:val="clear" w:color="auto" w:fill="auto"/>
      <w:spacing w:before="240"/>
      <w:jc w:val="center"/>
    </w:pPr>
    <w:rPr>
      <w:rFonts w:ascii="Times New Roman" w:hAnsi="Times New Roman" w:cs="Times New Roman"/>
      <w:noProof/>
      <w:sz w:val="24"/>
      <w:szCs w:val="24"/>
      <w:u w:val="single"/>
      <w:shd w:val="clear" w:color="auto" w:fill="auto"/>
    </w:rPr>
  </w:style>
  <w:style w:type="table" w:styleId="GridTable6Colorful-Accent1">
    <w:name w:val="Grid Table 6 Colorful Accent 1"/>
    <w:basedOn w:val="TableNormal"/>
    <w:uiPriority w:val="51"/>
    <w:rsid w:val="00117AA0"/>
    <w:pPr>
      <w:spacing w:after="0" w:line="240" w:lineRule="auto"/>
    </w:pPr>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NormalWeb">
    <w:name w:val="Normal (Web)"/>
    <w:basedOn w:val="Normal"/>
    <w:uiPriority w:val="99"/>
    <w:semiHidden/>
    <w:unhideWhenUsed/>
    <w:rsid w:val="00117AA0"/>
    <w:pPr>
      <w:keepLines w:val="0"/>
      <w:shd w:val="clear" w:color="auto" w:fill="auto"/>
      <w:spacing w:before="100" w:beforeAutospacing="1" w:after="100" w:afterAutospacing="1"/>
      <w:jc w:val="left"/>
    </w:pPr>
    <w:rPr>
      <w:rFonts w:ascii="Times New Roman" w:eastAsia="Times New Roman" w:hAnsi="Times New Roman" w:cs="Times New Roman"/>
      <w:sz w:val="24"/>
      <w:szCs w:val="24"/>
      <w:shd w:val="clear" w:color="auto" w:fill="auto"/>
      <w:lang w:eastAsia="lv-LV"/>
    </w:rPr>
  </w:style>
  <w:style w:type="table" w:styleId="GridTable2-Accent1">
    <w:name w:val="Grid Table 2 Accent 1"/>
    <w:basedOn w:val="TableNormal"/>
    <w:uiPriority w:val="47"/>
    <w:rsid w:val="00117AA0"/>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styleId="UnresolvedMention">
    <w:name w:val="Unresolved Mention"/>
    <w:basedOn w:val="DefaultParagraphFont"/>
    <w:uiPriority w:val="99"/>
    <w:semiHidden/>
    <w:unhideWhenUsed/>
    <w:rsid w:val="009B704C"/>
    <w:rPr>
      <w:color w:val="605E5C"/>
      <w:shd w:val="clear" w:color="auto" w:fill="E1DFDD"/>
    </w:rPr>
  </w:style>
  <w:style w:type="table" w:styleId="GridTable3-Accent5">
    <w:name w:val="Grid Table 3 Accent 5"/>
    <w:basedOn w:val="TableNormal"/>
    <w:uiPriority w:val="48"/>
    <w:rsid w:val="00F97A38"/>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1">
    <w:name w:val="Grid Table 3 Accent 1"/>
    <w:basedOn w:val="TableNormal"/>
    <w:uiPriority w:val="48"/>
    <w:rsid w:val="001C436D"/>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paragraph" w:customStyle="1" w:styleId="Caption1">
    <w:name w:val="Caption1"/>
    <w:basedOn w:val="Normal"/>
    <w:next w:val="Normal"/>
    <w:uiPriority w:val="35"/>
    <w:unhideWhenUsed/>
    <w:qFormat/>
    <w:rsid w:val="00E708C1"/>
    <w:pPr>
      <w:keepLines w:val="0"/>
      <w:shd w:val="clear" w:color="auto" w:fill="auto"/>
      <w:spacing w:before="0" w:after="200"/>
      <w:jc w:val="left"/>
    </w:pPr>
    <w:rPr>
      <w:rFonts w:ascii="Calibri" w:eastAsia="Calibri" w:hAnsi="Calibri" w:cs="Times New Roman"/>
      <w:i/>
      <w:iCs/>
      <w:color w:val="44546A"/>
      <w:sz w:val="18"/>
      <w:szCs w:val="18"/>
      <w:shd w:val="clear" w:color="auto" w:fill="auto"/>
      <w:lang w:val="en-US"/>
    </w:rPr>
  </w:style>
  <w:style w:type="paragraph" w:customStyle="1" w:styleId="Default">
    <w:name w:val="Default"/>
    <w:rsid w:val="00602DE2"/>
    <w:pPr>
      <w:autoSpaceDE w:val="0"/>
      <w:autoSpaceDN w:val="0"/>
      <w:adjustRightInd w:val="0"/>
      <w:spacing w:after="0" w:line="240" w:lineRule="auto"/>
    </w:pPr>
    <w:rPr>
      <w:rFonts w:ascii="Times New Roman" w:hAnsi="Times New Roman" w:cs="Times New Roman"/>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7262">
      <w:bodyDiv w:val="1"/>
      <w:marLeft w:val="0"/>
      <w:marRight w:val="0"/>
      <w:marTop w:val="0"/>
      <w:marBottom w:val="0"/>
      <w:divBdr>
        <w:top w:val="none" w:sz="0" w:space="0" w:color="auto"/>
        <w:left w:val="none" w:sz="0" w:space="0" w:color="auto"/>
        <w:bottom w:val="none" w:sz="0" w:space="0" w:color="auto"/>
        <w:right w:val="none" w:sz="0" w:space="0" w:color="auto"/>
      </w:divBdr>
    </w:div>
    <w:div w:id="84084059">
      <w:bodyDiv w:val="1"/>
      <w:marLeft w:val="0"/>
      <w:marRight w:val="0"/>
      <w:marTop w:val="0"/>
      <w:marBottom w:val="0"/>
      <w:divBdr>
        <w:top w:val="none" w:sz="0" w:space="0" w:color="auto"/>
        <w:left w:val="none" w:sz="0" w:space="0" w:color="auto"/>
        <w:bottom w:val="none" w:sz="0" w:space="0" w:color="auto"/>
        <w:right w:val="none" w:sz="0" w:space="0" w:color="auto"/>
      </w:divBdr>
    </w:div>
    <w:div w:id="115217958">
      <w:bodyDiv w:val="1"/>
      <w:marLeft w:val="0"/>
      <w:marRight w:val="0"/>
      <w:marTop w:val="0"/>
      <w:marBottom w:val="0"/>
      <w:divBdr>
        <w:top w:val="none" w:sz="0" w:space="0" w:color="auto"/>
        <w:left w:val="none" w:sz="0" w:space="0" w:color="auto"/>
        <w:bottom w:val="none" w:sz="0" w:space="0" w:color="auto"/>
        <w:right w:val="none" w:sz="0" w:space="0" w:color="auto"/>
      </w:divBdr>
    </w:div>
    <w:div w:id="116875135">
      <w:bodyDiv w:val="1"/>
      <w:marLeft w:val="0"/>
      <w:marRight w:val="0"/>
      <w:marTop w:val="0"/>
      <w:marBottom w:val="0"/>
      <w:divBdr>
        <w:top w:val="none" w:sz="0" w:space="0" w:color="auto"/>
        <w:left w:val="none" w:sz="0" w:space="0" w:color="auto"/>
        <w:bottom w:val="none" w:sz="0" w:space="0" w:color="auto"/>
        <w:right w:val="none" w:sz="0" w:space="0" w:color="auto"/>
      </w:divBdr>
    </w:div>
    <w:div w:id="123040117">
      <w:bodyDiv w:val="1"/>
      <w:marLeft w:val="0"/>
      <w:marRight w:val="0"/>
      <w:marTop w:val="0"/>
      <w:marBottom w:val="0"/>
      <w:divBdr>
        <w:top w:val="none" w:sz="0" w:space="0" w:color="auto"/>
        <w:left w:val="none" w:sz="0" w:space="0" w:color="auto"/>
        <w:bottom w:val="none" w:sz="0" w:space="0" w:color="auto"/>
        <w:right w:val="none" w:sz="0" w:space="0" w:color="auto"/>
      </w:divBdr>
    </w:div>
    <w:div w:id="462388000">
      <w:bodyDiv w:val="1"/>
      <w:marLeft w:val="0"/>
      <w:marRight w:val="0"/>
      <w:marTop w:val="0"/>
      <w:marBottom w:val="0"/>
      <w:divBdr>
        <w:top w:val="none" w:sz="0" w:space="0" w:color="auto"/>
        <w:left w:val="none" w:sz="0" w:space="0" w:color="auto"/>
        <w:bottom w:val="none" w:sz="0" w:space="0" w:color="auto"/>
        <w:right w:val="none" w:sz="0" w:space="0" w:color="auto"/>
      </w:divBdr>
    </w:div>
    <w:div w:id="552428576">
      <w:bodyDiv w:val="1"/>
      <w:marLeft w:val="0"/>
      <w:marRight w:val="0"/>
      <w:marTop w:val="0"/>
      <w:marBottom w:val="0"/>
      <w:divBdr>
        <w:top w:val="none" w:sz="0" w:space="0" w:color="auto"/>
        <w:left w:val="none" w:sz="0" w:space="0" w:color="auto"/>
        <w:bottom w:val="none" w:sz="0" w:space="0" w:color="auto"/>
        <w:right w:val="none" w:sz="0" w:space="0" w:color="auto"/>
      </w:divBdr>
    </w:div>
    <w:div w:id="639303860">
      <w:bodyDiv w:val="1"/>
      <w:marLeft w:val="0"/>
      <w:marRight w:val="0"/>
      <w:marTop w:val="0"/>
      <w:marBottom w:val="0"/>
      <w:divBdr>
        <w:top w:val="none" w:sz="0" w:space="0" w:color="auto"/>
        <w:left w:val="none" w:sz="0" w:space="0" w:color="auto"/>
        <w:bottom w:val="none" w:sz="0" w:space="0" w:color="auto"/>
        <w:right w:val="none" w:sz="0" w:space="0" w:color="auto"/>
      </w:divBdr>
      <w:divsChild>
        <w:div w:id="1869830875">
          <w:marLeft w:val="706"/>
          <w:marRight w:val="0"/>
          <w:marTop w:val="0"/>
          <w:marBottom w:val="240"/>
          <w:divBdr>
            <w:top w:val="none" w:sz="0" w:space="0" w:color="auto"/>
            <w:left w:val="none" w:sz="0" w:space="0" w:color="auto"/>
            <w:bottom w:val="none" w:sz="0" w:space="0" w:color="auto"/>
            <w:right w:val="none" w:sz="0" w:space="0" w:color="auto"/>
          </w:divBdr>
        </w:div>
      </w:divsChild>
    </w:div>
    <w:div w:id="812716050">
      <w:bodyDiv w:val="1"/>
      <w:marLeft w:val="0"/>
      <w:marRight w:val="0"/>
      <w:marTop w:val="0"/>
      <w:marBottom w:val="0"/>
      <w:divBdr>
        <w:top w:val="none" w:sz="0" w:space="0" w:color="auto"/>
        <w:left w:val="none" w:sz="0" w:space="0" w:color="auto"/>
        <w:bottom w:val="none" w:sz="0" w:space="0" w:color="auto"/>
        <w:right w:val="none" w:sz="0" w:space="0" w:color="auto"/>
      </w:divBdr>
    </w:div>
    <w:div w:id="885407958">
      <w:bodyDiv w:val="1"/>
      <w:marLeft w:val="0"/>
      <w:marRight w:val="0"/>
      <w:marTop w:val="0"/>
      <w:marBottom w:val="0"/>
      <w:divBdr>
        <w:top w:val="none" w:sz="0" w:space="0" w:color="auto"/>
        <w:left w:val="none" w:sz="0" w:space="0" w:color="auto"/>
        <w:bottom w:val="none" w:sz="0" w:space="0" w:color="auto"/>
        <w:right w:val="none" w:sz="0" w:space="0" w:color="auto"/>
      </w:divBdr>
    </w:div>
    <w:div w:id="889002057">
      <w:bodyDiv w:val="1"/>
      <w:marLeft w:val="0"/>
      <w:marRight w:val="0"/>
      <w:marTop w:val="0"/>
      <w:marBottom w:val="0"/>
      <w:divBdr>
        <w:top w:val="none" w:sz="0" w:space="0" w:color="auto"/>
        <w:left w:val="none" w:sz="0" w:space="0" w:color="auto"/>
        <w:bottom w:val="none" w:sz="0" w:space="0" w:color="auto"/>
        <w:right w:val="none" w:sz="0" w:space="0" w:color="auto"/>
      </w:divBdr>
    </w:div>
    <w:div w:id="936252205">
      <w:bodyDiv w:val="1"/>
      <w:marLeft w:val="0"/>
      <w:marRight w:val="0"/>
      <w:marTop w:val="0"/>
      <w:marBottom w:val="0"/>
      <w:divBdr>
        <w:top w:val="none" w:sz="0" w:space="0" w:color="auto"/>
        <w:left w:val="none" w:sz="0" w:space="0" w:color="auto"/>
        <w:bottom w:val="none" w:sz="0" w:space="0" w:color="auto"/>
        <w:right w:val="none" w:sz="0" w:space="0" w:color="auto"/>
      </w:divBdr>
    </w:div>
    <w:div w:id="1064914419">
      <w:bodyDiv w:val="1"/>
      <w:marLeft w:val="0"/>
      <w:marRight w:val="0"/>
      <w:marTop w:val="0"/>
      <w:marBottom w:val="0"/>
      <w:divBdr>
        <w:top w:val="none" w:sz="0" w:space="0" w:color="auto"/>
        <w:left w:val="none" w:sz="0" w:space="0" w:color="auto"/>
        <w:bottom w:val="none" w:sz="0" w:space="0" w:color="auto"/>
        <w:right w:val="none" w:sz="0" w:space="0" w:color="auto"/>
      </w:divBdr>
      <w:divsChild>
        <w:div w:id="1451510597">
          <w:marLeft w:val="0"/>
          <w:marRight w:val="0"/>
          <w:marTop w:val="0"/>
          <w:marBottom w:val="0"/>
          <w:divBdr>
            <w:top w:val="none" w:sz="0" w:space="0" w:color="auto"/>
            <w:left w:val="none" w:sz="0" w:space="0" w:color="auto"/>
            <w:bottom w:val="none" w:sz="0" w:space="0" w:color="auto"/>
            <w:right w:val="none" w:sz="0" w:space="0" w:color="auto"/>
          </w:divBdr>
          <w:divsChild>
            <w:div w:id="1605729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005143">
      <w:bodyDiv w:val="1"/>
      <w:marLeft w:val="0"/>
      <w:marRight w:val="0"/>
      <w:marTop w:val="0"/>
      <w:marBottom w:val="0"/>
      <w:divBdr>
        <w:top w:val="none" w:sz="0" w:space="0" w:color="auto"/>
        <w:left w:val="none" w:sz="0" w:space="0" w:color="auto"/>
        <w:bottom w:val="none" w:sz="0" w:space="0" w:color="auto"/>
        <w:right w:val="none" w:sz="0" w:space="0" w:color="auto"/>
      </w:divBdr>
      <w:divsChild>
        <w:div w:id="111097838">
          <w:marLeft w:val="0"/>
          <w:marRight w:val="0"/>
          <w:marTop w:val="0"/>
          <w:marBottom w:val="0"/>
          <w:divBdr>
            <w:top w:val="none" w:sz="0" w:space="0" w:color="auto"/>
            <w:left w:val="none" w:sz="0" w:space="0" w:color="auto"/>
            <w:bottom w:val="none" w:sz="0" w:space="0" w:color="auto"/>
            <w:right w:val="none" w:sz="0" w:space="0" w:color="auto"/>
          </w:divBdr>
        </w:div>
        <w:div w:id="1346784190">
          <w:marLeft w:val="0"/>
          <w:marRight w:val="0"/>
          <w:marTop w:val="0"/>
          <w:marBottom w:val="0"/>
          <w:divBdr>
            <w:top w:val="none" w:sz="0" w:space="0" w:color="auto"/>
            <w:left w:val="none" w:sz="0" w:space="0" w:color="auto"/>
            <w:bottom w:val="none" w:sz="0" w:space="0" w:color="auto"/>
            <w:right w:val="none" w:sz="0" w:space="0" w:color="auto"/>
          </w:divBdr>
        </w:div>
      </w:divsChild>
    </w:div>
    <w:div w:id="1237743507">
      <w:bodyDiv w:val="1"/>
      <w:marLeft w:val="0"/>
      <w:marRight w:val="0"/>
      <w:marTop w:val="0"/>
      <w:marBottom w:val="0"/>
      <w:divBdr>
        <w:top w:val="none" w:sz="0" w:space="0" w:color="auto"/>
        <w:left w:val="none" w:sz="0" w:space="0" w:color="auto"/>
        <w:bottom w:val="none" w:sz="0" w:space="0" w:color="auto"/>
        <w:right w:val="none" w:sz="0" w:space="0" w:color="auto"/>
      </w:divBdr>
    </w:div>
    <w:div w:id="1313026294">
      <w:bodyDiv w:val="1"/>
      <w:marLeft w:val="0"/>
      <w:marRight w:val="0"/>
      <w:marTop w:val="0"/>
      <w:marBottom w:val="0"/>
      <w:divBdr>
        <w:top w:val="none" w:sz="0" w:space="0" w:color="auto"/>
        <w:left w:val="none" w:sz="0" w:space="0" w:color="auto"/>
        <w:bottom w:val="none" w:sz="0" w:space="0" w:color="auto"/>
        <w:right w:val="none" w:sz="0" w:space="0" w:color="auto"/>
      </w:divBdr>
    </w:div>
    <w:div w:id="1314409040">
      <w:bodyDiv w:val="1"/>
      <w:marLeft w:val="0"/>
      <w:marRight w:val="0"/>
      <w:marTop w:val="0"/>
      <w:marBottom w:val="0"/>
      <w:divBdr>
        <w:top w:val="none" w:sz="0" w:space="0" w:color="auto"/>
        <w:left w:val="none" w:sz="0" w:space="0" w:color="auto"/>
        <w:bottom w:val="none" w:sz="0" w:space="0" w:color="auto"/>
        <w:right w:val="none" w:sz="0" w:space="0" w:color="auto"/>
      </w:divBdr>
    </w:div>
    <w:div w:id="1336688113">
      <w:bodyDiv w:val="1"/>
      <w:marLeft w:val="0"/>
      <w:marRight w:val="0"/>
      <w:marTop w:val="0"/>
      <w:marBottom w:val="0"/>
      <w:divBdr>
        <w:top w:val="none" w:sz="0" w:space="0" w:color="auto"/>
        <w:left w:val="none" w:sz="0" w:space="0" w:color="auto"/>
        <w:bottom w:val="none" w:sz="0" w:space="0" w:color="auto"/>
        <w:right w:val="none" w:sz="0" w:space="0" w:color="auto"/>
      </w:divBdr>
    </w:div>
    <w:div w:id="1355382533">
      <w:bodyDiv w:val="1"/>
      <w:marLeft w:val="0"/>
      <w:marRight w:val="0"/>
      <w:marTop w:val="0"/>
      <w:marBottom w:val="0"/>
      <w:divBdr>
        <w:top w:val="none" w:sz="0" w:space="0" w:color="auto"/>
        <w:left w:val="none" w:sz="0" w:space="0" w:color="auto"/>
        <w:bottom w:val="none" w:sz="0" w:space="0" w:color="auto"/>
        <w:right w:val="none" w:sz="0" w:space="0" w:color="auto"/>
      </w:divBdr>
    </w:div>
    <w:div w:id="1414474253">
      <w:bodyDiv w:val="1"/>
      <w:marLeft w:val="0"/>
      <w:marRight w:val="0"/>
      <w:marTop w:val="0"/>
      <w:marBottom w:val="0"/>
      <w:divBdr>
        <w:top w:val="none" w:sz="0" w:space="0" w:color="auto"/>
        <w:left w:val="none" w:sz="0" w:space="0" w:color="auto"/>
        <w:bottom w:val="none" w:sz="0" w:space="0" w:color="auto"/>
        <w:right w:val="none" w:sz="0" w:space="0" w:color="auto"/>
      </w:divBdr>
    </w:div>
    <w:div w:id="1493914221">
      <w:bodyDiv w:val="1"/>
      <w:marLeft w:val="0"/>
      <w:marRight w:val="0"/>
      <w:marTop w:val="0"/>
      <w:marBottom w:val="0"/>
      <w:divBdr>
        <w:top w:val="none" w:sz="0" w:space="0" w:color="auto"/>
        <w:left w:val="none" w:sz="0" w:space="0" w:color="auto"/>
        <w:bottom w:val="none" w:sz="0" w:space="0" w:color="auto"/>
        <w:right w:val="none" w:sz="0" w:space="0" w:color="auto"/>
      </w:divBdr>
    </w:div>
    <w:div w:id="1507287256">
      <w:bodyDiv w:val="1"/>
      <w:marLeft w:val="0"/>
      <w:marRight w:val="0"/>
      <w:marTop w:val="0"/>
      <w:marBottom w:val="0"/>
      <w:divBdr>
        <w:top w:val="none" w:sz="0" w:space="0" w:color="auto"/>
        <w:left w:val="none" w:sz="0" w:space="0" w:color="auto"/>
        <w:bottom w:val="none" w:sz="0" w:space="0" w:color="auto"/>
        <w:right w:val="none" w:sz="0" w:space="0" w:color="auto"/>
      </w:divBdr>
    </w:div>
    <w:div w:id="1530096738">
      <w:bodyDiv w:val="1"/>
      <w:marLeft w:val="0"/>
      <w:marRight w:val="0"/>
      <w:marTop w:val="0"/>
      <w:marBottom w:val="0"/>
      <w:divBdr>
        <w:top w:val="none" w:sz="0" w:space="0" w:color="auto"/>
        <w:left w:val="none" w:sz="0" w:space="0" w:color="auto"/>
        <w:bottom w:val="none" w:sz="0" w:space="0" w:color="auto"/>
        <w:right w:val="none" w:sz="0" w:space="0" w:color="auto"/>
      </w:divBdr>
    </w:div>
    <w:div w:id="1707946595">
      <w:bodyDiv w:val="1"/>
      <w:marLeft w:val="0"/>
      <w:marRight w:val="0"/>
      <w:marTop w:val="0"/>
      <w:marBottom w:val="0"/>
      <w:divBdr>
        <w:top w:val="none" w:sz="0" w:space="0" w:color="auto"/>
        <w:left w:val="none" w:sz="0" w:space="0" w:color="auto"/>
        <w:bottom w:val="none" w:sz="0" w:space="0" w:color="auto"/>
        <w:right w:val="none" w:sz="0" w:space="0" w:color="auto"/>
      </w:divBdr>
    </w:div>
    <w:div w:id="1818066159">
      <w:bodyDiv w:val="1"/>
      <w:marLeft w:val="0"/>
      <w:marRight w:val="0"/>
      <w:marTop w:val="0"/>
      <w:marBottom w:val="0"/>
      <w:divBdr>
        <w:top w:val="none" w:sz="0" w:space="0" w:color="auto"/>
        <w:left w:val="none" w:sz="0" w:space="0" w:color="auto"/>
        <w:bottom w:val="none" w:sz="0" w:space="0" w:color="auto"/>
        <w:right w:val="none" w:sz="0" w:space="0" w:color="auto"/>
      </w:divBdr>
    </w:div>
    <w:div w:id="1847478452">
      <w:bodyDiv w:val="1"/>
      <w:marLeft w:val="0"/>
      <w:marRight w:val="0"/>
      <w:marTop w:val="0"/>
      <w:marBottom w:val="0"/>
      <w:divBdr>
        <w:top w:val="none" w:sz="0" w:space="0" w:color="auto"/>
        <w:left w:val="none" w:sz="0" w:space="0" w:color="auto"/>
        <w:bottom w:val="none" w:sz="0" w:space="0" w:color="auto"/>
        <w:right w:val="none" w:sz="0" w:space="0" w:color="auto"/>
      </w:divBdr>
    </w:div>
    <w:div w:id="1892501731">
      <w:bodyDiv w:val="1"/>
      <w:marLeft w:val="0"/>
      <w:marRight w:val="0"/>
      <w:marTop w:val="0"/>
      <w:marBottom w:val="0"/>
      <w:divBdr>
        <w:top w:val="none" w:sz="0" w:space="0" w:color="auto"/>
        <w:left w:val="none" w:sz="0" w:space="0" w:color="auto"/>
        <w:bottom w:val="none" w:sz="0" w:space="0" w:color="auto"/>
        <w:right w:val="none" w:sz="0" w:space="0" w:color="auto"/>
      </w:divBdr>
    </w:div>
    <w:div w:id="2096899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diagramColors" Target="diagrams/colors1.xml"/><Relationship Id="rId26" Type="http://schemas.openxmlformats.org/officeDocument/2006/relationships/hyperlink" Target="http://www.grindeks.lv/lv/kontakti/filiales-parstavniecibas" TargetMode="External"/><Relationship Id="rId39" Type="http://schemas.openxmlformats.org/officeDocument/2006/relationships/image" Target="media/image7.png"/><Relationship Id="rId21" Type="http://schemas.openxmlformats.org/officeDocument/2006/relationships/diagramLayout" Target="diagrams/layout2.xml"/><Relationship Id="rId34" Type="http://schemas.openxmlformats.org/officeDocument/2006/relationships/chart" Target="charts/chart2.xml"/><Relationship Id="rId42" Type="http://schemas.openxmlformats.org/officeDocument/2006/relationships/image" Target="media/image9.emf"/><Relationship Id="rId47" Type="http://schemas.openxmlformats.org/officeDocument/2006/relationships/diagramData" Target="diagrams/data3.xml"/><Relationship Id="rId50" Type="http://schemas.openxmlformats.org/officeDocument/2006/relationships/diagramColors" Target="diagrams/colors3.xml"/><Relationship Id="rId55" Type="http://schemas.openxmlformats.org/officeDocument/2006/relationships/diagramLayout" Target="diagrams/layout4.xml"/><Relationship Id="rId63" Type="http://schemas.microsoft.com/office/2007/relationships/diagramDrawing" Target="diagrams/drawing5.xml"/><Relationship Id="rId68" Type="http://schemas.openxmlformats.org/officeDocument/2006/relationships/theme" Target="theme/theme1.xml"/><Relationship Id="rId7" Type="http://schemas.openxmlformats.org/officeDocument/2006/relationships/numbering" Target="numbering.xml"/><Relationship Id="rId2" Type="http://schemas.openxmlformats.org/officeDocument/2006/relationships/customXml" Target="../customXml/item2.xml"/><Relationship Id="rId16" Type="http://schemas.openxmlformats.org/officeDocument/2006/relationships/diagramLayout" Target="diagrams/layout1.xml"/><Relationship Id="rId29" Type="http://schemas.openxmlformats.org/officeDocument/2006/relationships/hyperlink" Target="http://www.rff.lv/pakalpojumi/kontraktrazosana"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microsoft.com/office/2007/relationships/diagramDrawing" Target="diagrams/drawing2.xml"/><Relationship Id="rId32" Type="http://schemas.openxmlformats.org/officeDocument/2006/relationships/chart" Target="charts/chart1.xml"/><Relationship Id="rId37" Type="http://schemas.openxmlformats.org/officeDocument/2006/relationships/chart" Target="charts/chart5.xml"/><Relationship Id="rId40" Type="http://schemas.openxmlformats.org/officeDocument/2006/relationships/image" Target="media/image8.png"/><Relationship Id="rId45" Type="http://schemas.openxmlformats.org/officeDocument/2006/relationships/image" Target="media/image11.emf"/><Relationship Id="rId53" Type="http://schemas.openxmlformats.org/officeDocument/2006/relationships/hyperlink" Target="https://eur-lex.europa.eu/legal-content/LV/TXT/?uri=CELEX%3A32021R0241" TargetMode="External"/><Relationship Id="rId58" Type="http://schemas.microsoft.com/office/2007/relationships/diagramDrawing" Target="diagrams/drawing4.xml"/><Relationship Id="rId66"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diagramData" Target="diagrams/data1.xml"/><Relationship Id="rId23" Type="http://schemas.openxmlformats.org/officeDocument/2006/relationships/diagramColors" Target="diagrams/colors2.xml"/><Relationship Id="rId28" Type="http://schemas.openxmlformats.org/officeDocument/2006/relationships/hyperlink" Target="http://www.grindeks.lv/lv/produkti/recepsu-zales/originalprodukti/ftorafur" TargetMode="External"/><Relationship Id="rId36" Type="http://schemas.openxmlformats.org/officeDocument/2006/relationships/chart" Target="charts/chart4.xml"/><Relationship Id="rId49" Type="http://schemas.openxmlformats.org/officeDocument/2006/relationships/diagramQuickStyle" Target="diagrams/quickStyle3.xml"/><Relationship Id="rId57" Type="http://schemas.openxmlformats.org/officeDocument/2006/relationships/diagramColors" Target="diagrams/colors4.xml"/><Relationship Id="rId61" Type="http://schemas.openxmlformats.org/officeDocument/2006/relationships/diagramQuickStyle" Target="diagrams/quickStyle5.xml"/><Relationship Id="rId10" Type="http://schemas.openxmlformats.org/officeDocument/2006/relationships/webSettings" Target="webSettings.xml"/><Relationship Id="rId19" Type="http://schemas.microsoft.com/office/2007/relationships/diagramDrawing" Target="diagrams/drawing1.xml"/><Relationship Id="rId31" Type="http://schemas.openxmlformats.org/officeDocument/2006/relationships/image" Target="media/image4.emf"/><Relationship Id="rId44" Type="http://schemas.openxmlformats.org/officeDocument/2006/relationships/hyperlink" Target="http://vkt.rtu.lv/" TargetMode="External"/><Relationship Id="rId52" Type="http://schemas.openxmlformats.org/officeDocument/2006/relationships/hyperlink" Target="https://m.likumi.lv/ta/id/333825-latvijas-atveselosanas-un-noturibas-mehanisma-plana-51r-reformu-un-investiciju-virziena-produktivitates-paaugstinasana-caur-investiciju-apjoma-palielinasanu-pampa-511r-reformas-inovaciju-parvaldiba-un-privato-pampa-investiciju-motivacija-5112i-investicijas-atbalsta-instruments-inovaciju-klasteru-attistibai-istenosanas-noteikumi-kompetences-centru-ietvaros" TargetMode="External"/><Relationship Id="rId60" Type="http://schemas.openxmlformats.org/officeDocument/2006/relationships/diagramLayout" Target="diagrams/layout5.xml"/><Relationship Id="rId65"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 Id="rId22" Type="http://schemas.openxmlformats.org/officeDocument/2006/relationships/diagramQuickStyle" Target="diagrams/quickStyle2.xml"/><Relationship Id="rId27" Type="http://schemas.openxmlformats.org/officeDocument/2006/relationships/hyperlink" Target="http://www.grindeks.lv/lv/produkti/recepsu-zales/originalprodukti/mildronats" TargetMode="External"/><Relationship Id="rId30" Type="http://schemas.openxmlformats.org/officeDocument/2006/relationships/image" Target="media/image3.png"/><Relationship Id="rId35" Type="http://schemas.openxmlformats.org/officeDocument/2006/relationships/chart" Target="charts/chart3.xml"/><Relationship Id="rId43" Type="http://schemas.openxmlformats.org/officeDocument/2006/relationships/image" Target="media/image10.png"/><Relationship Id="rId48" Type="http://schemas.openxmlformats.org/officeDocument/2006/relationships/diagramLayout" Target="diagrams/layout3.xml"/><Relationship Id="rId56" Type="http://schemas.openxmlformats.org/officeDocument/2006/relationships/diagramQuickStyle" Target="diagrams/quickStyle4.xml"/><Relationship Id="rId64" Type="http://schemas.openxmlformats.org/officeDocument/2006/relationships/hyperlink" Target="http://bbcentre.eu/" TargetMode="External"/><Relationship Id="rId8" Type="http://schemas.openxmlformats.org/officeDocument/2006/relationships/styles" Target="styles.xml"/><Relationship Id="rId51" Type="http://schemas.microsoft.com/office/2007/relationships/diagramDrawing" Target="diagrams/drawing3.xm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diagramQuickStyle" Target="diagrams/quickStyle1.xml"/><Relationship Id="rId25" Type="http://schemas.openxmlformats.org/officeDocument/2006/relationships/hyperlink" Target="http://grindeks.ru/ru" TargetMode="External"/><Relationship Id="rId33" Type="http://schemas.openxmlformats.org/officeDocument/2006/relationships/image" Target="media/image5.png"/><Relationship Id="rId38" Type="http://schemas.openxmlformats.org/officeDocument/2006/relationships/image" Target="media/image6.png"/><Relationship Id="rId46" Type="http://schemas.openxmlformats.org/officeDocument/2006/relationships/image" Target="media/image12.png"/><Relationship Id="rId59" Type="http://schemas.openxmlformats.org/officeDocument/2006/relationships/diagramData" Target="diagrams/data5.xml"/><Relationship Id="rId67" Type="http://schemas.openxmlformats.org/officeDocument/2006/relationships/fontTable" Target="fontTable.xml"/><Relationship Id="rId20" Type="http://schemas.openxmlformats.org/officeDocument/2006/relationships/diagramData" Target="diagrams/data2.xml"/><Relationship Id="rId41" Type="http://schemas.openxmlformats.org/officeDocument/2006/relationships/chart" Target="charts/chart6.xml"/><Relationship Id="rId54" Type="http://schemas.openxmlformats.org/officeDocument/2006/relationships/diagramData" Target="diagrams/data4.xml"/><Relationship Id="rId62" Type="http://schemas.openxmlformats.org/officeDocument/2006/relationships/diagramColors" Target="diagrams/colors5.xml"/></Relationships>
</file>

<file path=word/charts/_rels/chart1.xml.rels><?xml version="1.0" encoding="UTF-8" standalone="yes"?>
<Relationships xmlns="http://schemas.openxmlformats.org/package/2006/relationships"><Relationship Id="rId3" Type="http://schemas.openxmlformats.org/officeDocument/2006/relationships/oleObject" Target="https://fidea.sharepoint.com/projects/lakifa-ris3/Darba%20dokumenti/Datu%20faili/NAC20_21_22_23%20APGROZ&#298;JUMI_PK_AKTIVI_DEBITORI_KREDITORI%20ar%20WCO%20kodiem.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Ksenija.Osmjana\Documents\FMKKC\FMKKC%20dati\Nozaru%20dati%20CSP.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Ksenija.Osmjana\Documents\FMKKC\FMKKC%20dati\Nozaru%20dati%20CSP.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Ksenija.Osmjana\Documents\FMKKC\FMKKC%20dati\Nozaru%20dati%20CSP.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Ksenija.Osmjana\Documents\FMKKC\FMKKC%20dati\Eksports%20pa%20nozar&#275;m.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C:\Users\Ksenija.Osmjana\Documents\FMKKC\FMKKC%20dati\Nozaru%20dati%20CSP.xlsx" TargetMode="External"/><Relationship Id="rId2" Type="http://schemas.microsoft.com/office/2011/relationships/chartColorStyle" Target="colors6.xml"/><Relationship Id="rId1" Type="http://schemas.microsoft.com/office/2011/relationships/chartStyle" Target="style6.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'[NAC20_21_22_23 APGROZĪJUMI_PK_AKTIVI_DEBITORI_KREDITORI ar WCO kodiem.xlsx]NACE2L'!$L$25</c:f>
              <c:strCache>
                <c:ptCount val="1"/>
                <c:pt idx="0">
                  <c:v>Top20</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'[NAC20_21_22_23 APGROZĪJUMI_PK_AKTIVI_DEBITORI_KREDITORI ar WCO kodiem.xlsx]NACE2L'!$C$26:$C$32</c:f>
              <c:strCache>
                <c:ptCount val="3"/>
                <c:pt idx="0">
                  <c:v>Ķīmisko vielu un ķīmisko produktu ražošana</c:v>
                </c:pt>
                <c:pt idx="1">
                  <c:v>Farmaceitisko pamatvielu un farmaceitisko preparātu ražošana</c:v>
                </c:pt>
                <c:pt idx="2">
                  <c:v>Vidējais (bez Cemex)</c:v>
                </c:pt>
              </c:strCache>
              <c:extLst/>
            </c:strRef>
          </c:cat>
          <c:val>
            <c:numRef>
              <c:f>'[NAC20_21_22_23 APGROZĪJUMI_PK_AKTIVI_DEBITORI_KREDITORI ar WCO kodiem.xlsx]NACE2L'!$L$26:$L$32</c:f>
              <c:numCache>
                <c:formatCode>_(* #,##0.00_);_(* \(#,##0.00\);_(* "-"??_);_(@_)</c:formatCode>
                <c:ptCount val="3"/>
                <c:pt idx="0">
                  <c:v>2.391694156652687</c:v>
                </c:pt>
                <c:pt idx="1">
                  <c:v>2.3057150068892156</c:v>
                </c:pt>
                <c:pt idx="2">
                  <c:v>2.005518394968929</c:v>
                </c:pt>
              </c:numCache>
              <c:extLst/>
            </c:numRef>
          </c:val>
          <c:extLst>
            <c:ext xmlns:c16="http://schemas.microsoft.com/office/drawing/2014/chart" uri="{C3380CC4-5D6E-409C-BE32-E72D297353CC}">
              <c16:uniqueId val="{00000000-9AE8-4EEF-AFC7-2568B91BFAE7}"/>
            </c:ext>
          </c:extLst>
        </c:ser>
        <c:ser>
          <c:idx val="1"/>
          <c:order val="1"/>
          <c:tx>
            <c:strRef>
              <c:f>'[NAC20_21_22_23 APGROZĪJUMI_PK_AKTIVI_DEBITORI_KREDITORI ar WCO kodiem.xlsx]NACE2L'!$M$25</c:f>
              <c:strCache>
                <c:ptCount val="1"/>
                <c:pt idx="0">
                  <c:v>Pārējie</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'[NAC20_21_22_23 APGROZĪJUMI_PK_AKTIVI_DEBITORI_KREDITORI ar WCO kodiem.xlsx]NACE2L'!$C$26:$C$32</c:f>
              <c:strCache>
                <c:ptCount val="3"/>
                <c:pt idx="0">
                  <c:v>Ķīmisko vielu un ķīmisko produktu ražošana</c:v>
                </c:pt>
                <c:pt idx="1">
                  <c:v>Farmaceitisko pamatvielu un farmaceitisko preparātu ražošana</c:v>
                </c:pt>
                <c:pt idx="2">
                  <c:v>Vidējais (bez Cemex)</c:v>
                </c:pt>
              </c:strCache>
              <c:extLst/>
            </c:strRef>
          </c:cat>
          <c:val>
            <c:numRef>
              <c:f>'[NAC20_21_22_23 APGROZĪJUMI_PK_AKTIVI_DEBITORI_KREDITORI ar WCO kodiem.xlsx]NACE2L'!$M$26:$M$32</c:f>
              <c:numCache>
                <c:formatCode>_(* #,##0.00_);_(* \(#,##0.00\);_(* "-"??_);_(@_)</c:formatCode>
                <c:ptCount val="3"/>
                <c:pt idx="0">
                  <c:v>1.2955968314929709</c:v>
                </c:pt>
                <c:pt idx="1">
                  <c:v>3.7324705658121586</c:v>
                </c:pt>
                <c:pt idx="2">
                  <c:v>1.7409440112845043</c:v>
                </c:pt>
              </c:numCache>
              <c:extLst/>
            </c:numRef>
          </c:val>
          <c:extLst>
            <c:ext xmlns:c16="http://schemas.microsoft.com/office/drawing/2014/chart" uri="{C3380CC4-5D6E-409C-BE32-E72D297353CC}">
              <c16:uniqueId val="{00000001-9AE8-4EEF-AFC7-2568B91BFAE7}"/>
            </c:ext>
          </c:extLst>
        </c:ser>
        <c:dLbls>
          <c:showLegendKey val="0"/>
          <c:showVal val="0"/>
          <c:showCatName val="0"/>
          <c:showSerName val="0"/>
          <c:showPercent val="0"/>
          <c:showBubbleSize val="0"/>
        </c:dLbls>
        <c:gapWidth val="182"/>
        <c:axId val="975379992"/>
        <c:axId val="975376464"/>
      </c:barChart>
      <c:catAx>
        <c:axId val="97537999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75376464"/>
        <c:crosses val="autoZero"/>
        <c:auto val="1"/>
        <c:lblAlgn val="ctr"/>
        <c:lblOffset val="100"/>
        <c:noMultiLvlLbl val="0"/>
      </c:catAx>
      <c:valAx>
        <c:axId val="975376464"/>
        <c:scaling>
          <c:orientation val="minMax"/>
        </c:scaling>
        <c:delete val="0"/>
        <c:axPos val="b"/>
        <c:majorGridlines>
          <c:spPr>
            <a:ln w="9525" cap="flat" cmpd="sng" algn="ctr">
              <a:solidFill>
                <a:schemeClr val="tx1">
                  <a:lumMod val="15000"/>
                  <a:lumOff val="85000"/>
                </a:schemeClr>
              </a:solidFill>
              <a:round/>
            </a:ln>
            <a:effectLst/>
          </c:spPr>
        </c:majorGridlines>
        <c:numFmt formatCode="_(* #,##0.00_);_(* \(#,##0.00\);_(*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7537999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9789193537917432E-2"/>
          <c:y val="8.1671997759723378E-2"/>
          <c:w val="0.84830569985896409"/>
          <c:h val="0.60428644232592199"/>
        </c:manualLayout>
      </c:layout>
      <c:barChart>
        <c:barDir val="col"/>
        <c:grouping val="clustered"/>
        <c:varyColors val="0"/>
        <c:ser>
          <c:idx val="3"/>
          <c:order val="3"/>
          <c:tx>
            <c:strRef>
              <c:f>Grafiki!$A$6</c:f>
              <c:strCache>
                <c:ptCount val="1"/>
                <c:pt idx="0">
                  <c:v>Apstrādes rūpniecība, % no IKP</c:v>
                </c:pt>
              </c:strCache>
            </c:strRef>
          </c:tx>
          <c:spPr>
            <a:solidFill>
              <a:schemeClr val="accent4"/>
            </a:solidFill>
            <a:ln>
              <a:noFill/>
            </a:ln>
            <a:effectLst/>
          </c:spPr>
          <c:invertIfNegative val="0"/>
          <c:dLbls>
            <c:dLbl>
              <c:idx val="3"/>
              <c:layout>
                <c:manualLayout>
                  <c:x val="1.6176867080075492E-2"/>
                  <c:y val="0.22723508169367454"/>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6C6C-4A6D-A34B-FC8B850A4D5C}"/>
                </c:ext>
              </c:extLst>
            </c:dLbl>
            <c:dLbl>
              <c:idx val="4"/>
              <c:layout>
                <c:manualLayout>
                  <c:x val="-4.9428745072927449E-17"/>
                  <c:y val="0.19806377161091515"/>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6C6C-4A6D-A34B-FC8B850A4D5C}"/>
                </c:ext>
              </c:extLst>
            </c:dLbl>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Grafiki!$B$2:$K$2</c:f>
              <c:strCache>
                <c:ptCount val="10"/>
                <c:pt idx="0">
                  <c:v>2005</c:v>
                </c:pt>
                <c:pt idx="1">
                  <c:v>2006</c:v>
                </c:pt>
                <c:pt idx="2">
                  <c:v>2007</c:v>
                </c:pt>
                <c:pt idx="3">
                  <c:v>2008</c:v>
                </c:pt>
                <c:pt idx="4">
                  <c:v>2009</c:v>
                </c:pt>
                <c:pt idx="5">
                  <c:v>2010</c:v>
                </c:pt>
                <c:pt idx="6">
                  <c:v>2011</c:v>
                </c:pt>
                <c:pt idx="7">
                  <c:v>2012</c:v>
                </c:pt>
                <c:pt idx="8">
                  <c:v>2013</c:v>
                </c:pt>
                <c:pt idx="9">
                  <c:v>2014</c:v>
                </c:pt>
              </c:strCache>
            </c:strRef>
          </c:cat>
          <c:val>
            <c:numRef>
              <c:f>Grafiki!$B$6:$K$6</c:f>
              <c:numCache>
                <c:formatCode>0.00%</c:formatCode>
                <c:ptCount val="10"/>
                <c:pt idx="0">
                  <c:v>0.36763389021247761</c:v>
                </c:pt>
                <c:pt idx="1">
                  <c:v>0.35264846919739684</c:v>
                </c:pt>
                <c:pt idx="2">
                  <c:v>0.31337397649383347</c:v>
                </c:pt>
                <c:pt idx="3">
                  <c:v>0.28638154610450967</c:v>
                </c:pt>
                <c:pt idx="4">
                  <c:v>0.26823973055065248</c:v>
                </c:pt>
                <c:pt idx="5">
                  <c:v>0.32718742066071665</c:v>
                </c:pt>
                <c:pt idx="6">
                  <c:v>0.34115418583021273</c:v>
                </c:pt>
                <c:pt idx="7">
                  <c:v>0.36266157114302111</c:v>
                </c:pt>
                <c:pt idx="8">
                  <c:v>0.34123039737045691</c:v>
                </c:pt>
                <c:pt idx="9">
                  <c:v>0.31618984508967185</c:v>
                </c:pt>
              </c:numCache>
            </c:numRef>
          </c:val>
          <c:extLst>
            <c:ext xmlns:c16="http://schemas.microsoft.com/office/drawing/2014/chart" uri="{C3380CC4-5D6E-409C-BE32-E72D297353CC}">
              <c16:uniqueId val="{00000002-6C6C-4A6D-A34B-FC8B850A4D5C}"/>
            </c:ext>
          </c:extLst>
        </c:ser>
        <c:dLbls>
          <c:showLegendKey val="0"/>
          <c:showVal val="0"/>
          <c:showCatName val="0"/>
          <c:showSerName val="0"/>
          <c:showPercent val="0"/>
          <c:showBubbleSize val="0"/>
        </c:dLbls>
        <c:gapWidth val="219"/>
        <c:axId val="975380384"/>
        <c:axId val="975379600"/>
      </c:barChart>
      <c:lineChart>
        <c:grouping val="standard"/>
        <c:varyColors val="0"/>
        <c:ser>
          <c:idx val="0"/>
          <c:order val="0"/>
          <c:tx>
            <c:strRef>
              <c:f>Grafiki!$A$3</c:f>
              <c:strCache>
                <c:ptCount val="1"/>
                <c:pt idx="0">
                  <c:v>(20.4) Tīrīšanas līdzekļu, kosmētikas un smaržu ražošana</c:v>
                </c:pt>
              </c:strCache>
            </c:strRef>
          </c:tx>
          <c:spPr>
            <a:ln w="28575" cap="rnd">
              <a:solidFill>
                <a:schemeClr val="accent1"/>
              </a:solidFill>
              <a:round/>
            </a:ln>
            <a:effectLst/>
          </c:spPr>
          <c:marker>
            <c:symbol val="none"/>
          </c:marker>
          <c:dLbls>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Grafiki!$B$2:$K$2</c:f>
              <c:strCache>
                <c:ptCount val="10"/>
                <c:pt idx="0">
                  <c:v>2005</c:v>
                </c:pt>
                <c:pt idx="1">
                  <c:v>2006</c:v>
                </c:pt>
                <c:pt idx="2">
                  <c:v>2007</c:v>
                </c:pt>
                <c:pt idx="3">
                  <c:v>2008</c:v>
                </c:pt>
                <c:pt idx="4">
                  <c:v>2009</c:v>
                </c:pt>
                <c:pt idx="5">
                  <c:v>2010</c:v>
                </c:pt>
                <c:pt idx="6">
                  <c:v>2011</c:v>
                </c:pt>
                <c:pt idx="7">
                  <c:v>2012</c:v>
                </c:pt>
                <c:pt idx="8">
                  <c:v>2013</c:v>
                </c:pt>
                <c:pt idx="9">
                  <c:v>2014</c:v>
                </c:pt>
              </c:strCache>
            </c:strRef>
          </c:cat>
          <c:val>
            <c:numRef>
              <c:f>Grafiki!$B$3:$K$3</c:f>
              <c:numCache>
                <c:formatCode>0.00%</c:formatCode>
                <c:ptCount val="10"/>
                <c:pt idx="0">
                  <c:v>4.9247804377066341E-3</c:v>
                </c:pt>
                <c:pt idx="1">
                  <c:v>4.40872230762996E-3</c:v>
                </c:pt>
                <c:pt idx="2">
                  <c:v>3.7158309737667511E-3</c:v>
                </c:pt>
                <c:pt idx="3">
                  <c:v>4.2552397036985977E-3</c:v>
                </c:pt>
                <c:pt idx="4">
                  <c:v>4.3423718809023045E-3</c:v>
                </c:pt>
                <c:pt idx="5">
                  <c:v>4.5045144911730244E-3</c:v>
                </c:pt>
                <c:pt idx="6">
                  <c:v>3.6584610109729214E-3</c:v>
                </c:pt>
                <c:pt idx="7">
                  <c:v>3.5655606513207102E-3</c:v>
                </c:pt>
                <c:pt idx="8">
                  <c:v>3.9905296373685369E-3</c:v>
                </c:pt>
                <c:pt idx="9">
                  <c:v>4.7282528734121409E-3</c:v>
                </c:pt>
              </c:numCache>
            </c:numRef>
          </c:val>
          <c:smooth val="0"/>
          <c:extLst>
            <c:ext xmlns:c16="http://schemas.microsoft.com/office/drawing/2014/chart" uri="{C3380CC4-5D6E-409C-BE32-E72D297353CC}">
              <c16:uniqueId val="{00000003-6C6C-4A6D-A34B-FC8B850A4D5C}"/>
            </c:ext>
          </c:extLst>
        </c:ser>
        <c:ser>
          <c:idx val="1"/>
          <c:order val="1"/>
          <c:tx>
            <c:strRef>
              <c:f>Grafiki!$A$4</c:f>
              <c:strCache>
                <c:ptCount val="1"/>
                <c:pt idx="0">
                  <c:v>(21) Farmaceitisko pamatvielu un farmaceitisko preparātu ražošana</c:v>
                </c:pt>
              </c:strCache>
            </c:strRef>
          </c:tx>
          <c:spPr>
            <a:ln w="28575" cap="rnd">
              <a:solidFill>
                <a:schemeClr val="accent2"/>
              </a:solidFill>
              <a:round/>
            </a:ln>
            <a:effectLst/>
          </c:spPr>
          <c:marker>
            <c:symbol val="none"/>
          </c:marker>
          <c:dLbls>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Grafiki!$B$2:$K$2</c:f>
              <c:strCache>
                <c:ptCount val="10"/>
                <c:pt idx="0">
                  <c:v>2005</c:v>
                </c:pt>
                <c:pt idx="1">
                  <c:v>2006</c:v>
                </c:pt>
                <c:pt idx="2">
                  <c:v>2007</c:v>
                </c:pt>
                <c:pt idx="3">
                  <c:v>2008</c:v>
                </c:pt>
                <c:pt idx="4">
                  <c:v>2009</c:v>
                </c:pt>
                <c:pt idx="5">
                  <c:v>2010</c:v>
                </c:pt>
                <c:pt idx="6">
                  <c:v>2011</c:v>
                </c:pt>
                <c:pt idx="7">
                  <c:v>2012</c:v>
                </c:pt>
                <c:pt idx="8">
                  <c:v>2013</c:v>
                </c:pt>
                <c:pt idx="9">
                  <c:v>2014</c:v>
                </c:pt>
              </c:strCache>
            </c:strRef>
          </c:cat>
          <c:val>
            <c:numRef>
              <c:f>Grafiki!$B$4:$K$4</c:f>
              <c:numCache>
                <c:formatCode>0.00%</c:formatCode>
                <c:ptCount val="10"/>
                <c:pt idx="0">
                  <c:v>1.4371386524967575E-2</c:v>
                </c:pt>
                <c:pt idx="1">
                  <c:v>1.5426375799064309E-2</c:v>
                </c:pt>
                <c:pt idx="2">
                  <c:v>1.5379077442128419E-2</c:v>
                </c:pt>
                <c:pt idx="3">
                  <c:v>1.7963918784233639E-2</c:v>
                </c:pt>
                <c:pt idx="4">
                  <c:v>2.0494853591623986E-2</c:v>
                </c:pt>
                <c:pt idx="5">
                  <c:v>2.036272434630557E-2</c:v>
                </c:pt>
                <c:pt idx="6">
                  <c:v>1.9963443831854548E-2</c:v>
                </c:pt>
                <c:pt idx="7">
                  <c:v>2.0128356643551143E-2</c:v>
                </c:pt>
                <c:pt idx="8">
                  <c:v>2.0147308169153343E-2</c:v>
                </c:pt>
                <c:pt idx="9">
                  <c:v>2.2319917929525777E-2</c:v>
                </c:pt>
              </c:numCache>
            </c:numRef>
          </c:val>
          <c:smooth val="0"/>
          <c:extLst>
            <c:ext xmlns:c16="http://schemas.microsoft.com/office/drawing/2014/chart" uri="{C3380CC4-5D6E-409C-BE32-E72D297353CC}">
              <c16:uniqueId val="{00000004-6C6C-4A6D-A34B-FC8B850A4D5C}"/>
            </c:ext>
          </c:extLst>
        </c:ser>
        <c:ser>
          <c:idx val="2"/>
          <c:order val="2"/>
          <c:tx>
            <c:strRef>
              <c:f>Grafiki!$A$5</c:f>
              <c:strCache>
                <c:ptCount val="1"/>
                <c:pt idx="0">
                  <c:v>(32.5) Medicīnas un zobārstniecības instrumentu un piederumu ražošana</c:v>
                </c:pt>
              </c:strCache>
            </c:strRef>
          </c:tx>
          <c:spPr>
            <a:ln w="28575" cap="rnd">
              <a:solidFill>
                <a:schemeClr val="accent3"/>
              </a:solidFill>
              <a:round/>
            </a:ln>
            <a:effectLst/>
          </c:spPr>
          <c:marker>
            <c:symbol val="none"/>
          </c:marker>
          <c:dLbls>
            <c:dLbl>
              <c:idx val="0"/>
              <c:layout>
                <c:manualLayout>
                  <c:x val="-4.4058671089854964E-2"/>
                  <c:y val="2.233711247143378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6C6C-4A6D-A34B-FC8B850A4D5C}"/>
                </c:ext>
              </c:extLst>
            </c:dLbl>
            <c:dLbl>
              <c:idx val="1"/>
              <c:layout>
                <c:manualLayout>
                  <c:x val="-4.6491169265481316E-2"/>
                  <c:y val="2.940300189026451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6C6C-4A6D-A34B-FC8B850A4D5C}"/>
                </c:ext>
              </c:extLst>
            </c:dLbl>
            <c:dLbl>
              <c:idx val="2"/>
              <c:layout>
                <c:manualLayout>
                  <c:x val="-4.6491169265481316E-2"/>
                  <c:y val="2.587005718084921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6C6C-4A6D-A34B-FC8B850A4D5C}"/>
                </c:ext>
              </c:extLst>
            </c:dLbl>
            <c:dLbl>
              <c:idx val="3"/>
              <c:layout>
                <c:manualLayout>
                  <c:x val="-4.6491169265481365E-2"/>
                  <c:y val="2.940300189026451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6C6C-4A6D-A34B-FC8B850A4D5C}"/>
                </c:ext>
              </c:extLst>
            </c:dLbl>
            <c:dLbl>
              <c:idx val="4"/>
              <c:layout>
                <c:manualLayout>
                  <c:x val="-4.4058671089854951E-2"/>
                  <c:y val="2.587005718084921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6C6C-4A6D-A34B-FC8B850A4D5C}"/>
                </c:ext>
              </c:extLst>
            </c:dLbl>
            <c:dLbl>
              <c:idx val="5"/>
              <c:layout>
                <c:manualLayout>
                  <c:x val="-4.6491169265481316E-2"/>
                  <c:y val="2.940300189026451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6C6C-4A6D-A34B-FC8B850A4D5C}"/>
                </c:ext>
              </c:extLst>
            </c:dLbl>
            <c:dLbl>
              <c:idx val="6"/>
              <c:layout>
                <c:manualLayout>
                  <c:x val="-4.4058671089855041E-2"/>
                  <c:y val="1.527122305260332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6C6C-4A6D-A34B-FC8B850A4D5C}"/>
                </c:ext>
              </c:extLst>
            </c:dLbl>
            <c:dLbl>
              <c:idx val="7"/>
              <c:layout>
                <c:manualLayout>
                  <c:x val="-4.4058671089855041E-2"/>
                  <c:y val="2.587005718084921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6C6C-4A6D-A34B-FC8B850A4D5C}"/>
                </c:ext>
              </c:extLst>
            </c:dLbl>
            <c:dLbl>
              <c:idx val="8"/>
              <c:layout>
                <c:manualLayout>
                  <c:x val="-4.4058671089854951E-2"/>
                  <c:y val="2.940300189026451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6C6C-4A6D-A34B-FC8B850A4D5C}"/>
                </c:ext>
              </c:extLst>
            </c:dLbl>
            <c:dLbl>
              <c:idx val="9"/>
              <c:layout>
                <c:manualLayout>
                  <c:x val="-4.8923667441107689E-2"/>
                  <c:y val="2.940300189026451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6C6C-4A6D-A34B-FC8B850A4D5C}"/>
                </c:ext>
              </c:extLst>
            </c:dLbl>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mn-lt"/>
                    <a:ea typeface="+mn-ea"/>
                    <a:cs typeface="+mn-cs"/>
                  </a:defRPr>
                </a:pPr>
                <a:endParaRPr lang="en-US"/>
              </a:p>
            </c:txPr>
            <c:dLblPos val="b"/>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Grafiki!$B$2:$K$2</c:f>
              <c:strCache>
                <c:ptCount val="10"/>
                <c:pt idx="0">
                  <c:v>2005</c:v>
                </c:pt>
                <c:pt idx="1">
                  <c:v>2006</c:v>
                </c:pt>
                <c:pt idx="2">
                  <c:v>2007</c:v>
                </c:pt>
                <c:pt idx="3">
                  <c:v>2008</c:v>
                </c:pt>
                <c:pt idx="4">
                  <c:v>2009</c:v>
                </c:pt>
                <c:pt idx="5">
                  <c:v>2010</c:v>
                </c:pt>
                <c:pt idx="6">
                  <c:v>2011</c:v>
                </c:pt>
                <c:pt idx="7">
                  <c:v>2012</c:v>
                </c:pt>
                <c:pt idx="8">
                  <c:v>2013</c:v>
                </c:pt>
                <c:pt idx="9">
                  <c:v>2014</c:v>
                </c:pt>
              </c:strCache>
            </c:strRef>
          </c:cat>
          <c:val>
            <c:numRef>
              <c:f>Grafiki!$B$5:$K$5</c:f>
              <c:numCache>
                <c:formatCode>0.00%</c:formatCode>
                <c:ptCount val="10"/>
                <c:pt idx="0">
                  <c:v>1.7411972804156762E-3</c:v>
                </c:pt>
                <c:pt idx="1">
                  <c:v>2.5549794777829891E-3</c:v>
                </c:pt>
                <c:pt idx="2">
                  <c:v>2.0447611820533615E-3</c:v>
                </c:pt>
                <c:pt idx="3">
                  <c:v>2.4470141515801689E-3</c:v>
                </c:pt>
                <c:pt idx="4">
                  <c:v>2.1983406304129753E-3</c:v>
                </c:pt>
                <c:pt idx="5">
                  <c:v>2.2540479320726104E-3</c:v>
                </c:pt>
                <c:pt idx="6">
                  <c:v>1.832777910986474E-3</c:v>
                </c:pt>
                <c:pt idx="7">
                  <c:v>2.0842404317864493E-3</c:v>
                </c:pt>
                <c:pt idx="8">
                  <c:v>2.3769889242074879E-3</c:v>
                </c:pt>
                <c:pt idx="9">
                  <c:v>2.3996681344270162E-3</c:v>
                </c:pt>
              </c:numCache>
            </c:numRef>
          </c:val>
          <c:smooth val="0"/>
          <c:extLst>
            <c:ext xmlns:c16="http://schemas.microsoft.com/office/drawing/2014/chart" uri="{C3380CC4-5D6E-409C-BE32-E72D297353CC}">
              <c16:uniqueId val="{0000000F-6C6C-4A6D-A34B-FC8B850A4D5C}"/>
            </c:ext>
          </c:extLst>
        </c:ser>
        <c:dLbls>
          <c:showLegendKey val="0"/>
          <c:showVal val="0"/>
          <c:showCatName val="0"/>
          <c:showSerName val="0"/>
          <c:showPercent val="0"/>
          <c:showBubbleSize val="0"/>
        </c:dLbls>
        <c:marker val="1"/>
        <c:smooth val="0"/>
        <c:axId val="975373328"/>
        <c:axId val="975377640"/>
      </c:lineChart>
      <c:catAx>
        <c:axId val="9753733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75377640"/>
        <c:crosses val="autoZero"/>
        <c:auto val="1"/>
        <c:lblAlgn val="ctr"/>
        <c:lblOffset val="100"/>
        <c:noMultiLvlLbl val="0"/>
      </c:catAx>
      <c:valAx>
        <c:axId val="97537764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75373328"/>
        <c:crosses val="autoZero"/>
        <c:crossBetween val="between"/>
      </c:valAx>
      <c:valAx>
        <c:axId val="975379600"/>
        <c:scaling>
          <c:orientation val="minMax"/>
        </c:scaling>
        <c:delete val="0"/>
        <c:axPos val="r"/>
        <c:numFmt formatCode="0%" sourceLinked="0"/>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75380384"/>
        <c:crosses val="max"/>
        <c:crossBetween val="between"/>
      </c:valAx>
      <c:catAx>
        <c:axId val="975380384"/>
        <c:scaling>
          <c:orientation val="minMax"/>
        </c:scaling>
        <c:delete val="1"/>
        <c:axPos val="b"/>
        <c:numFmt formatCode="General" sourceLinked="1"/>
        <c:majorTickMark val="out"/>
        <c:minorTickMark val="none"/>
        <c:tickLblPos val="nextTo"/>
        <c:crossAx val="975379600"/>
        <c:crosses val="autoZero"/>
        <c:auto val="1"/>
        <c:lblAlgn val="ctr"/>
        <c:lblOffset val="100"/>
        <c:noMultiLvlLbl val="0"/>
      </c:catAx>
      <c:spPr>
        <a:noFill/>
        <a:ln>
          <a:noFill/>
        </a:ln>
        <a:effectLst/>
      </c:spPr>
    </c:plotArea>
    <c:legend>
      <c:legendPos val="b"/>
      <c:layout>
        <c:manualLayout>
          <c:xMode val="edge"/>
          <c:yMode val="edge"/>
          <c:x val="0.1139821629872432"/>
          <c:y val="0.78081675405423512"/>
          <c:w val="0.87266105538956018"/>
          <c:h val="0.21569728916561701"/>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900"/>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Grafiki!$A$9</c:f>
              <c:strCache>
                <c:ptCount val="1"/>
                <c:pt idx="0">
                  <c:v>(20.4) Tīrīšanas līdzekļu, kosmētikas un smaržu ražošana</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Grafiki!$B$8:$K$8</c:f>
              <c:strCache>
                <c:ptCount val="10"/>
                <c:pt idx="0">
                  <c:v>2005</c:v>
                </c:pt>
                <c:pt idx="1">
                  <c:v>2006</c:v>
                </c:pt>
                <c:pt idx="2">
                  <c:v>2007</c:v>
                </c:pt>
                <c:pt idx="3">
                  <c:v>2008</c:v>
                </c:pt>
                <c:pt idx="4">
                  <c:v>2009</c:v>
                </c:pt>
                <c:pt idx="5">
                  <c:v>2010</c:v>
                </c:pt>
                <c:pt idx="6">
                  <c:v>2011</c:v>
                </c:pt>
                <c:pt idx="7">
                  <c:v>2012</c:v>
                </c:pt>
                <c:pt idx="8">
                  <c:v>2013</c:v>
                </c:pt>
                <c:pt idx="9">
                  <c:v>2014</c:v>
                </c:pt>
              </c:strCache>
            </c:strRef>
          </c:cat>
          <c:val>
            <c:numRef>
              <c:f>Grafiki!$B$9:$K$9</c:f>
              <c:numCache>
                <c:formatCode>#,##0</c:formatCode>
                <c:ptCount val="10"/>
                <c:pt idx="0">
                  <c:v>24.59</c:v>
                </c:pt>
                <c:pt idx="1">
                  <c:v>26.544</c:v>
                </c:pt>
                <c:pt idx="2">
                  <c:v>26.260999999999999</c:v>
                </c:pt>
                <c:pt idx="3">
                  <c:v>29.63</c:v>
                </c:pt>
                <c:pt idx="4">
                  <c:v>21.908000000000001</c:v>
                </c:pt>
                <c:pt idx="5">
                  <c:v>26.413</c:v>
                </c:pt>
                <c:pt idx="6">
                  <c:v>25.266999999999999</c:v>
                </c:pt>
                <c:pt idx="7">
                  <c:v>28.202999999999999</c:v>
                </c:pt>
                <c:pt idx="8">
                  <c:v>30.995999999999999</c:v>
                </c:pt>
                <c:pt idx="9" formatCode="#,##0.0">
                  <c:v>35.253999999999998</c:v>
                </c:pt>
              </c:numCache>
            </c:numRef>
          </c:val>
          <c:extLst>
            <c:ext xmlns:c16="http://schemas.microsoft.com/office/drawing/2014/chart" uri="{C3380CC4-5D6E-409C-BE32-E72D297353CC}">
              <c16:uniqueId val="{00000000-A042-449D-A6CC-C7C7D94BB71E}"/>
            </c:ext>
          </c:extLst>
        </c:ser>
        <c:ser>
          <c:idx val="1"/>
          <c:order val="1"/>
          <c:tx>
            <c:strRef>
              <c:f>Grafiki!$A$10</c:f>
              <c:strCache>
                <c:ptCount val="1"/>
                <c:pt idx="0">
                  <c:v>(21) Farmaceitisko pamatvielu un farmaceitisko preparātu ražošana</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Grafiki!$B$8:$K$8</c:f>
              <c:strCache>
                <c:ptCount val="10"/>
                <c:pt idx="0">
                  <c:v>2005</c:v>
                </c:pt>
                <c:pt idx="1">
                  <c:v>2006</c:v>
                </c:pt>
                <c:pt idx="2">
                  <c:v>2007</c:v>
                </c:pt>
                <c:pt idx="3">
                  <c:v>2008</c:v>
                </c:pt>
                <c:pt idx="4">
                  <c:v>2009</c:v>
                </c:pt>
                <c:pt idx="5">
                  <c:v>2010</c:v>
                </c:pt>
                <c:pt idx="6">
                  <c:v>2011</c:v>
                </c:pt>
                <c:pt idx="7">
                  <c:v>2012</c:v>
                </c:pt>
                <c:pt idx="8">
                  <c:v>2013</c:v>
                </c:pt>
                <c:pt idx="9">
                  <c:v>2014</c:v>
                </c:pt>
              </c:strCache>
            </c:strRef>
          </c:cat>
          <c:val>
            <c:numRef>
              <c:f>Grafiki!$B$10:$K$10</c:f>
              <c:numCache>
                <c:formatCode>#,##0</c:formatCode>
                <c:ptCount val="10"/>
                <c:pt idx="0">
                  <c:v>71.757999999999996</c:v>
                </c:pt>
                <c:pt idx="1">
                  <c:v>92.879000000000005</c:v>
                </c:pt>
                <c:pt idx="2">
                  <c:v>108.68899999999999</c:v>
                </c:pt>
                <c:pt idx="3">
                  <c:v>125.086</c:v>
                </c:pt>
                <c:pt idx="4">
                  <c:v>103.4</c:v>
                </c:pt>
                <c:pt idx="5">
                  <c:v>119.40035695587463</c:v>
                </c:pt>
                <c:pt idx="6">
                  <c:v>137.87664643317484</c:v>
                </c:pt>
                <c:pt idx="7">
                  <c:v>159.21199999999999</c:v>
                </c:pt>
                <c:pt idx="8">
                  <c:v>156.49199999999999</c:v>
                </c:pt>
                <c:pt idx="9">
                  <c:v>166.41800000000001</c:v>
                </c:pt>
              </c:numCache>
            </c:numRef>
          </c:val>
          <c:extLst>
            <c:ext xmlns:c16="http://schemas.microsoft.com/office/drawing/2014/chart" uri="{C3380CC4-5D6E-409C-BE32-E72D297353CC}">
              <c16:uniqueId val="{00000001-A042-449D-A6CC-C7C7D94BB71E}"/>
            </c:ext>
          </c:extLst>
        </c:ser>
        <c:ser>
          <c:idx val="2"/>
          <c:order val="2"/>
          <c:tx>
            <c:strRef>
              <c:f>Grafiki!$A$11</c:f>
              <c:strCache>
                <c:ptCount val="1"/>
                <c:pt idx="0">
                  <c:v>(32.5) Medicīnas un zobārstniecības instrumentu un piederumu ražošana</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Grafiki!$B$8:$K$8</c:f>
              <c:strCache>
                <c:ptCount val="10"/>
                <c:pt idx="0">
                  <c:v>2005</c:v>
                </c:pt>
                <c:pt idx="1">
                  <c:v>2006</c:v>
                </c:pt>
                <c:pt idx="2">
                  <c:v>2007</c:v>
                </c:pt>
                <c:pt idx="3">
                  <c:v>2008</c:v>
                </c:pt>
                <c:pt idx="4">
                  <c:v>2009</c:v>
                </c:pt>
                <c:pt idx="5">
                  <c:v>2010</c:v>
                </c:pt>
                <c:pt idx="6">
                  <c:v>2011</c:v>
                </c:pt>
                <c:pt idx="7">
                  <c:v>2012</c:v>
                </c:pt>
                <c:pt idx="8">
                  <c:v>2013</c:v>
                </c:pt>
                <c:pt idx="9">
                  <c:v>2014</c:v>
                </c:pt>
              </c:strCache>
            </c:strRef>
          </c:cat>
          <c:val>
            <c:numRef>
              <c:f>Grafiki!$B$11:$K$11</c:f>
              <c:numCache>
                <c:formatCode>#,##0</c:formatCode>
                <c:ptCount val="10"/>
                <c:pt idx="0">
                  <c:v>8.6940000000000008</c:v>
                </c:pt>
                <c:pt idx="1">
                  <c:v>15.382999999999999</c:v>
                </c:pt>
                <c:pt idx="2">
                  <c:v>14.451000000000001</c:v>
                </c:pt>
                <c:pt idx="3">
                  <c:v>17.039000000000001</c:v>
                </c:pt>
                <c:pt idx="4">
                  <c:v>11.090999999999999</c:v>
                </c:pt>
                <c:pt idx="5">
                  <c:v>13.217000000000001</c:v>
                </c:pt>
                <c:pt idx="6">
                  <c:v>12.657999999999999</c:v>
                </c:pt>
                <c:pt idx="7">
                  <c:v>16.486000000000001</c:v>
                </c:pt>
                <c:pt idx="8">
                  <c:v>18.463000000000001</c:v>
                </c:pt>
                <c:pt idx="9" formatCode="#,##0.0">
                  <c:v>17.891999999999999</c:v>
                </c:pt>
              </c:numCache>
            </c:numRef>
          </c:val>
          <c:extLst>
            <c:ext xmlns:c16="http://schemas.microsoft.com/office/drawing/2014/chart" uri="{C3380CC4-5D6E-409C-BE32-E72D297353CC}">
              <c16:uniqueId val="{00000002-A042-449D-A6CC-C7C7D94BB71E}"/>
            </c:ext>
          </c:extLst>
        </c:ser>
        <c:dLbls>
          <c:dLblPos val="ctr"/>
          <c:showLegendKey val="0"/>
          <c:showVal val="1"/>
          <c:showCatName val="0"/>
          <c:showSerName val="0"/>
          <c:showPercent val="0"/>
          <c:showBubbleSize val="0"/>
        </c:dLbls>
        <c:gapWidth val="219"/>
        <c:axId val="975372936"/>
        <c:axId val="975380776"/>
      </c:barChart>
      <c:lineChart>
        <c:grouping val="standard"/>
        <c:varyColors val="0"/>
        <c:dLbls>
          <c:dLblPos val="ctr"/>
          <c:showLegendKey val="0"/>
          <c:showVal val="1"/>
          <c:showCatName val="0"/>
          <c:showSerName val="0"/>
          <c:showPercent val="0"/>
          <c:showBubbleSize val="0"/>
        </c:dLbls>
        <c:marker val="1"/>
        <c:smooth val="0"/>
        <c:axId val="975383912"/>
        <c:axId val="975381168"/>
        <c:extLst>
          <c:ext xmlns:c15="http://schemas.microsoft.com/office/drawing/2012/chart" uri="{02D57815-91ED-43cb-92C2-25804820EDAC}">
            <c15:filteredLineSeries>
              <c15:ser>
                <c:idx val="3"/>
                <c:order val="3"/>
                <c:tx>
                  <c:strRef>
                    <c:extLst>
                      <c:ext uri="{02D57815-91ED-43cb-92C2-25804820EDAC}">
                        <c15:formulaRef>
                          <c15:sqref>Grafiki!$A$12</c15:sqref>
                        </c15:formulaRef>
                      </c:ext>
                    </c:extLst>
                    <c:strCache>
                      <c:ptCount val="1"/>
                      <c:pt idx="0">
                        <c:v>Apstrādes rūpniecība</c:v>
                      </c:pt>
                    </c:strCache>
                  </c:strRef>
                </c:tx>
                <c:spPr>
                  <a:ln w="28575" cap="rnd">
                    <a:solidFill>
                      <a:schemeClr val="accent4"/>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ormulaRef>
                          <c15:sqref>Grafiki!$B$8:$K$8</c15:sqref>
                        </c15:formulaRef>
                      </c:ext>
                    </c:extLst>
                    <c:strCache>
                      <c:ptCount val="10"/>
                      <c:pt idx="0">
                        <c:v>2005</c:v>
                      </c:pt>
                      <c:pt idx="1">
                        <c:v>2006</c:v>
                      </c:pt>
                      <c:pt idx="2">
                        <c:v>2007</c:v>
                      </c:pt>
                      <c:pt idx="3">
                        <c:v>2008</c:v>
                      </c:pt>
                      <c:pt idx="4">
                        <c:v>2009</c:v>
                      </c:pt>
                      <c:pt idx="5">
                        <c:v>2010</c:v>
                      </c:pt>
                      <c:pt idx="6">
                        <c:v>2011</c:v>
                      </c:pt>
                      <c:pt idx="7">
                        <c:v>2012</c:v>
                      </c:pt>
                      <c:pt idx="8">
                        <c:v>2013</c:v>
                      </c:pt>
                      <c:pt idx="9">
                        <c:v>2014</c:v>
                      </c:pt>
                    </c:strCache>
                  </c:strRef>
                </c:cat>
                <c:val>
                  <c:numRef>
                    <c:extLst>
                      <c:ext uri="{02D57815-91ED-43cb-92C2-25804820EDAC}">
                        <c15:formulaRef>
                          <c15:sqref>Grafiki!$B$12:$K$12</c15:sqref>
                        </c15:formulaRef>
                      </c:ext>
                    </c:extLst>
                    <c:numCache>
                      <c:formatCode>#,##0</c:formatCode>
                      <c:ptCount val="10"/>
                      <c:pt idx="0">
                        <c:v>4993.116</c:v>
                      </c:pt>
                      <c:pt idx="1">
                        <c:v>6020.7920000000004</c:v>
                      </c:pt>
                      <c:pt idx="2">
                        <c:v>7067.3289999999997</c:v>
                      </c:pt>
                      <c:pt idx="3">
                        <c:v>6963.18</c:v>
                      </c:pt>
                      <c:pt idx="4">
                        <c:v>5045.1689999999999</c:v>
                      </c:pt>
                      <c:pt idx="5">
                        <c:v>5863.6729999999998</c:v>
                      </c:pt>
                      <c:pt idx="6">
                        <c:v>6906.4560000000001</c:v>
                      </c:pt>
                      <c:pt idx="7">
                        <c:v>7909.8360000000002</c:v>
                      </c:pt>
                      <c:pt idx="8">
                        <c:v>7767.39</c:v>
                      </c:pt>
                      <c:pt idx="9">
                        <c:v>7456.0309999999999</c:v>
                      </c:pt>
                    </c:numCache>
                  </c:numRef>
                </c:val>
                <c:smooth val="0"/>
                <c:extLst>
                  <c:ext xmlns:c16="http://schemas.microsoft.com/office/drawing/2014/chart" uri="{C3380CC4-5D6E-409C-BE32-E72D297353CC}">
                    <c16:uniqueId val="{00000003-A042-449D-A6CC-C7C7D94BB71E}"/>
                  </c:ext>
                </c:extLst>
              </c15:ser>
            </c15:filteredLineSeries>
          </c:ext>
        </c:extLst>
      </c:lineChart>
      <c:catAx>
        <c:axId val="9753729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75380776"/>
        <c:crosses val="autoZero"/>
        <c:auto val="1"/>
        <c:lblAlgn val="ctr"/>
        <c:lblOffset val="100"/>
        <c:noMultiLvlLbl val="0"/>
      </c:catAx>
      <c:valAx>
        <c:axId val="97538077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lv-LV"/>
                  <a:t>milj. eiro</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75372936"/>
        <c:crosses val="autoZero"/>
        <c:crossBetween val="between"/>
      </c:valAx>
      <c:valAx>
        <c:axId val="975381168"/>
        <c:scaling>
          <c:orientation val="minMax"/>
        </c:scaling>
        <c:delete val="1"/>
        <c:axPos val="r"/>
        <c:numFmt formatCode="#,##0" sourceLinked="1"/>
        <c:majorTickMark val="out"/>
        <c:minorTickMark val="none"/>
        <c:tickLblPos val="nextTo"/>
        <c:crossAx val="975383912"/>
        <c:crosses val="max"/>
        <c:crossBetween val="between"/>
      </c:valAx>
      <c:catAx>
        <c:axId val="975383912"/>
        <c:scaling>
          <c:orientation val="minMax"/>
        </c:scaling>
        <c:delete val="1"/>
        <c:axPos val="b"/>
        <c:numFmt formatCode="General" sourceLinked="1"/>
        <c:majorTickMark val="out"/>
        <c:minorTickMark val="none"/>
        <c:tickLblPos val="nextTo"/>
        <c:crossAx val="975381168"/>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2"/>
          <c:order val="0"/>
          <c:tx>
            <c:strRef>
              <c:f>'Nozaru struktūra'!$A$27</c:f>
              <c:strCache>
                <c:ptCount val="1"/>
                <c:pt idx="0">
                  <c:v>Ārvalstu ražotāji</c:v>
                </c:pt>
              </c:strCache>
            </c:strRef>
          </c:tx>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dLblPos val="inBase"/>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numRef>
              <c:f>'Nozaru struktūra'!$B$25:$F$25</c:f>
              <c:numCache>
                <c:formatCode>General</c:formatCode>
                <c:ptCount val="5"/>
                <c:pt idx="0">
                  <c:v>2010</c:v>
                </c:pt>
                <c:pt idx="1">
                  <c:v>2011</c:v>
                </c:pt>
                <c:pt idx="2">
                  <c:v>2012</c:v>
                </c:pt>
                <c:pt idx="3">
                  <c:v>2013</c:v>
                </c:pt>
                <c:pt idx="4">
                  <c:v>2014</c:v>
                </c:pt>
              </c:numCache>
            </c:numRef>
          </c:cat>
          <c:val>
            <c:numRef>
              <c:f>'Nozaru struktūra'!$B$27:$F$27</c:f>
              <c:numCache>
                <c:formatCode>General</c:formatCode>
                <c:ptCount val="5"/>
                <c:pt idx="0">
                  <c:v>264</c:v>
                </c:pt>
                <c:pt idx="1">
                  <c:v>278</c:v>
                </c:pt>
                <c:pt idx="2">
                  <c:v>282</c:v>
                </c:pt>
                <c:pt idx="3">
                  <c:v>294</c:v>
                </c:pt>
                <c:pt idx="4">
                  <c:v>302</c:v>
                </c:pt>
              </c:numCache>
            </c:numRef>
          </c:val>
          <c:extLst>
            <c:ext xmlns:c16="http://schemas.microsoft.com/office/drawing/2014/chart" uri="{C3380CC4-5D6E-409C-BE32-E72D297353CC}">
              <c16:uniqueId val="{00000000-81E2-4158-96C5-628EF359F029}"/>
            </c:ext>
          </c:extLst>
        </c:ser>
        <c:ser>
          <c:idx val="1"/>
          <c:order val="1"/>
          <c:tx>
            <c:strRef>
              <c:f>'Nozaru struktūra'!$A$26</c:f>
              <c:strCache>
                <c:ptCount val="1"/>
                <c:pt idx="0">
                  <c:v>Latvijas ražotāji</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c:spPr>
          <c:invertIfNegative val="0"/>
          <c:dLbls>
            <c:dLbl>
              <c:idx val="0"/>
              <c:layout>
                <c:manualLayout>
                  <c:x val="-5.5555555555555558E-3"/>
                  <c:y val="-8.890456401283172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81E2-4158-96C5-628EF359F029}"/>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en-US"/>
              </a:p>
            </c:txPr>
            <c:dLblPos val="inBase"/>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numRef>
              <c:f>'Nozaru struktūra'!$B$25:$F$25</c:f>
              <c:numCache>
                <c:formatCode>General</c:formatCode>
                <c:ptCount val="5"/>
                <c:pt idx="0">
                  <c:v>2010</c:v>
                </c:pt>
                <c:pt idx="1">
                  <c:v>2011</c:v>
                </c:pt>
                <c:pt idx="2">
                  <c:v>2012</c:v>
                </c:pt>
                <c:pt idx="3">
                  <c:v>2013</c:v>
                </c:pt>
                <c:pt idx="4">
                  <c:v>2014</c:v>
                </c:pt>
              </c:numCache>
            </c:numRef>
          </c:cat>
          <c:val>
            <c:numRef>
              <c:f>'Nozaru struktūra'!$B$26:$F$26</c:f>
              <c:numCache>
                <c:formatCode>General</c:formatCode>
                <c:ptCount val="5"/>
                <c:pt idx="0">
                  <c:v>13</c:v>
                </c:pt>
                <c:pt idx="1">
                  <c:v>12</c:v>
                </c:pt>
                <c:pt idx="2">
                  <c:v>13</c:v>
                </c:pt>
                <c:pt idx="3">
                  <c:v>14</c:v>
                </c:pt>
                <c:pt idx="4">
                  <c:v>14</c:v>
                </c:pt>
              </c:numCache>
            </c:numRef>
          </c:val>
          <c:extLst>
            <c:ext xmlns:c16="http://schemas.microsoft.com/office/drawing/2014/chart" uri="{C3380CC4-5D6E-409C-BE32-E72D297353CC}">
              <c16:uniqueId val="{00000002-81E2-4158-96C5-628EF359F029}"/>
            </c:ext>
          </c:extLst>
        </c:ser>
        <c:dLbls>
          <c:dLblPos val="inBase"/>
          <c:showLegendKey val="0"/>
          <c:showVal val="1"/>
          <c:showCatName val="0"/>
          <c:showSerName val="0"/>
          <c:showPercent val="0"/>
          <c:showBubbleSize val="0"/>
        </c:dLbls>
        <c:gapWidth val="219"/>
        <c:overlap val="100"/>
        <c:axId val="975378424"/>
        <c:axId val="975378816"/>
      </c:barChart>
      <c:lineChart>
        <c:grouping val="stacked"/>
        <c:varyColors val="0"/>
        <c:ser>
          <c:idx val="3"/>
          <c:order val="2"/>
          <c:tx>
            <c:strRef>
              <c:f>'Nozaru struktūra'!$A$28</c:f>
              <c:strCache>
                <c:ptCount val="1"/>
                <c:pt idx="0">
                  <c:v>Latvijas ražotāju tirgus daļa, %</c:v>
                </c:pt>
              </c:strCache>
            </c:strRef>
          </c:tx>
          <c:spPr>
            <a:ln w="31750" cap="rnd">
              <a:solidFill>
                <a:schemeClr val="accent1">
                  <a:lumMod val="60000"/>
                </a:schemeClr>
              </a:solidFill>
              <a:round/>
            </a:ln>
            <a:effectLst/>
          </c:spPr>
          <c:marker>
            <c:symbol val="circle"/>
            <c:size val="6"/>
            <c:spPr>
              <a:gradFill rotWithShape="1">
                <a:gsLst>
                  <a:gs pos="0">
                    <a:schemeClr val="accent1">
                      <a:lumMod val="60000"/>
                      <a:satMod val="103000"/>
                      <a:lumMod val="102000"/>
                      <a:tint val="94000"/>
                    </a:schemeClr>
                  </a:gs>
                  <a:gs pos="50000">
                    <a:schemeClr val="accent1">
                      <a:lumMod val="60000"/>
                      <a:satMod val="110000"/>
                      <a:lumMod val="100000"/>
                      <a:shade val="100000"/>
                    </a:schemeClr>
                  </a:gs>
                  <a:gs pos="100000">
                    <a:schemeClr val="accent1">
                      <a:lumMod val="60000"/>
                      <a:lumMod val="99000"/>
                      <a:satMod val="120000"/>
                      <a:shade val="78000"/>
                    </a:schemeClr>
                  </a:gs>
                </a:gsLst>
                <a:lin ang="5400000" scaled="0"/>
              </a:gradFill>
              <a:ln w="12700">
                <a:solidFill>
                  <a:schemeClr val="lt2"/>
                </a:solidFill>
                <a:round/>
              </a:ln>
              <a:effectLst/>
            </c:spPr>
          </c:marker>
          <c:dLbls>
            <c:dLbl>
              <c:idx val="0"/>
              <c:layout>
                <c:manualLayout>
                  <c:x val="-4.8632108486439195E-2"/>
                  <c:y val="4.868073782443860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81E2-4158-96C5-628EF359F029}"/>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val>
            <c:numRef>
              <c:f>'Nozaru struktūra'!$B$28:$F$28</c:f>
              <c:numCache>
                <c:formatCode>0.0%</c:formatCode>
                <c:ptCount val="5"/>
                <c:pt idx="0">
                  <c:v>4.5999999999999999E-2</c:v>
                </c:pt>
                <c:pt idx="1">
                  <c:v>4.2999999999999997E-2</c:v>
                </c:pt>
                <c:pt idx="2">
                  <c:v>4.3999999999999997E-2</c:v>
                </c:pt>
                <c:pt idx="3">
                  <c:v>4.4999999999999998E-2</c:v>
                </c:pt>
                <c:pt idx="4">
                  <c:v>4.3999999999999997E-2</c:v>
                </c:pt>
              </c:numCache>
            </c:numRef>
          </c:val>
          <c:smooth val="0"/>
          <c:extLst>
            <c:ext xmlns:c16="http://schemas.microsoft.com/office/drawing/2014/chart" uri="{C3380CC4-5D6E-409C-BE32-E72D297353CC}">
              <c16:uniqueId val="{00000004-81E2-4158-96C5-628EF359F029}"/>
            </c:ext>
          </c:extLst>
        </c:ser>
        <c:dLbls>
          <c:showLegendKey val="0"/>
          <c:showVal val="1"/>
          <c:showCatName val="0"/>
          <c:showSerName val="0"/>
          <c:showPercent val="0"/>
          <c:showBubbleSize val="0"/>
        </c:dLbls>
        <c:marker val="1"/>
        <c:smooth val="0"/>
        <c:axId val="975379208"/>
        <c:axId val="975372152"/>
      </c:lineChart>
      <c:catAx>
        <c:axId val="975378424"/>
        <c:scaling>
          <c:orientation val="minMax"/>
        </c:scaling>
        <c:delete val="0"/>
        <c:axPos val="b"/>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975378816"/>
        <c:crosses val="autoZero"/>
        <c:auto val="1"/>
        <c:lblAlgn val="ctr"/>
        <c:lblOffset val="100"/>
        <c:noMultiLvlLbl val="0"/>
      </c:catAx>
      <c:valAx>
        <c:axId val="975378816"/>
        <c:scaling>
          <c:orientation val="minMax"/>
        </c:scaling>
        <c:delete val="0"/>
        <c:axPos val="l"/>
        <c:majorGridlines>
          <c:spPr>
            <a:ln w="9525" cap="flat" cmpd="sng" algn="ctr">
              <a:solidFill>
                <a:schemeClr val="tx2">
                  <a:lumMod val="15000"/>
                  <a:lumOff val="85000"/>
                </a:schemeClr>
              </a:solidFill>
              <a:round/>
            </a:ln>
            <a:effectLst/>
          </c:spPr>
        </c:majorGridlines>
        <c:title>
          <c:tx>
            <c:rich>
              <a:bodyPr rot="-5400000" spcFirstLastPara="1" vertOverflow="ellipsis" vert="horz" wrap="square" anchor="ctr" anchorCtr="1"/>
              <a:lstStyle/>
              <a:p>
                <a:pPr>
                  <a:defRPr sz="900" b="1" i="0" u="none" strike="noStrike" kern="1200" baseline="0">
                    <a:solidFill>
                      <a:schemeClr val="tx2"/>
                    </a:solidFill>
                    <a:latin typeface="+mn-lt"/>
                    <a:ea typeface="+mn-ea"/>
                    <a:cs typeface="+mn-cs"/>
                  </a:defRPr>
                </a:pPr>
                <a:r>
                  <a:rPr lang="en-US"/>
                  <a:t>milj. eiro</a:t>
                </a:r>
              </a:p>
            </c:rich>
          </c:tx>
          <c:overlay val="0"/>
          <c:spPr>
            <a:noFill/>
            <a:ln>
              <a:noFill/>
            </a:ln>
            <a:effectLst/>
          </c:spPr>
          <c:txPr>
            <a:bodyPr rot="-5400000" spcFirstLastPara="1" vertOverflow="ellipsis" vert="horz" wrap="square" anchor="ctr" anchorCtr="1"/>
            <a:lstStyle/>
            <a:p>
              <a:pPr>
                <a:defRPr sz="900" b="1" i="0" u="none" strike="noStrike" kern="1200" baseline="0">
                  <a:solidFill>
                    <a:schemeClr val="tx2"/>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975378424"/>
        <c:crosses val="autoZero"/>
        <c:crossBetween val="between"/>
      </c:valAx>
      <c:valAx>
        <c:axId val="975372152"/>
        <c:scaling>
          <c:orientation val="minMax"/>
          <c:max val="0.1"/>
          <c:min val="0"/>
        </c:scaling>
        <c:delete val="0"/>
        <c:axPos val="r"/>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975379208"/>
        <c:crosses val="max"/>
        <c:crossBetween val="between"/>
      </c:valAx>
      <c:catAx>
        <c:axId val="975379208"/>
        <c:scaling>
          <c:orientation val="minMax"/>
        </c:scaling>
        <c:delete val="1"/>
        <c:axPos val="b"/>
        <c:majorTickMark val="none"/>
        <c:minorTickMark val="none"/>
        <c:tickLblPos val="nextTo"/>
        <c:crossAx val="975372152"/>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2"/>
          <c:order val="2"/>
          <c:tx>
            <c:strRef>
              <c:f>'Kosmētikas un frmācijas eksport'!$A$13</c:f>
              <c:strCache>
                <c:ptCount val="1"/>
                <c:pt idx="0">
                  <c:v>Farmaceitisko pamatvielu un farmaceitisko preparātu ražošana, tūkst. eiro</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c:spPr>
          <c:invertIfNegative val="0"/>
          <c:cat>
            <c:strRef>
              <c:f>'Kosmētikas un frmācijas eksport'!$B$10:$H$10</c:f>
              <c:strCache>
                <c:ptCount val="7"/>
                <c:pt idx="0">
                  <c:v>2009</c:v>
                </c:pt>
                <c:pt idx="1">
                  <c:v>2010</c:v>
                </c:pt>
                <c:pt idx="2">
                  <c:v>2011</c:v>
                </c:pt>
                <c:pt idx="3">
                  <c:v>2012</c:v>
                </c:pt>
                <c:pt idx="4">
                  <c:v>2013</c:v>
                </c:pt>
                <c:pt idx="5">
                  <c:v>2014</c:v>
                </c:pt>
                <c:pt idx="6">
                  <c:v>2015</c:v>
                </c:pt>
              </c:strCache>
            </c:strRef>
          </c:cat>
          <c:val>
            <c:numRef>
              <c:f>'Kosmētikas un frmācijas eksport'!$B$13:$H$13</c:f>
              <c:numCache>
                <c:formatCode>#,##0</c:formatCode>
                <c:ptCount val="7"/>
                <c:pt idx="0">
                  <c:v>101163</c:v>
                </c:pt>
                <c:pt idx="1">
                  <c:v>134494</c:v>
                </c:pt>
                <c:pt idx="2">
                  <c:v>145446</c:v>
                </c:pt>
                <c:pt idx="3">
                  <c:v>177023</c:v>
                </c:pt>
                <c:pt idx="4">
                  <c:v>169758</c:v>
                </c:pt>
                <c:pt idx="5">
                  <c:v>146203</c:v>
                </c:pt>
                <c:pt idx="6">
                  <c:v>133338</c:v>
                </c:pt>
              </c:numCache>
            </c:numRef>
          </c:val>
          <c:extLst>
            <c:ext xmlns:c16="http://schemas.microsoft.com/office/drawing/2014/chart" uri="{C3380CC4-5D6E-409C-BE32-E72D297353CC}">
              <c16:uniqueId val="{00000000-B3C4-4152-8860-B7FD52998545}"/>
            </c:ext>
          </c:extLst>
        </c:ser>
        <c:ser>
          <c:idx val="3"/>
          <c:order val="3"/>
          <c:tx>
            <c:strRef>
              <c:f>'Kosmētikas un frmācijas eksport'!$A$14</c:f>
              <c:strCache>
                <c:ptCount val="1"/>
                <c:pt idx="0">
                  <c:v>Kosmētikas un ķermeņa kopšanas līdzekļi*, tūkst. eiro</c:v>
                </c:pt>
              </c:strCache>
            </c:strRef>
          </c:tx>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c:spPr>
          <c:invertIfNegative val="0"/>
          <c:cat>
            <c:strRef>
              <c:f>'Kosmētikas un frmācijas eksport'!$B$10:$H$10</c:f>
              <c:strCache>
                <c:ptCount val="7"/>
                <c:pt idx="0">
                  <c:v>2009</c:v>
                </c:pt>
                <c:pt idx="1">
                  <c:v>2010</c:v>
                </c:pt>
                <c:pt idx="2">
                  <c:v>2011</c:v>
                </c:pt>
                <c:pt idx="3">
                  <c:v>2012</c:v>
                </c:pt>
                <c:pt idx="4">
                  <c:v>2013</c:v>
                </c:pt>
                <c:pt idx="5">
                  <c:v>2014</c:v>
                </c:pt>
                <c:pt idx="6">
                  <c:v>2015</c:v>
                </c:pt>
              </c:strCache>
            </c:strRef>
          </c:cat>
          <c:val>
            <c:numRef>
              <c:f>'Kosmētikas un frmācijas eksport'!$B$14:$H$14</c:f>
              <c:numCache>
                <c:formatCode>#,##0</c:formatCode>
                <c:ptCount val="7"/>
                <c:pt idx="0">
                  <c:v>33676.796999999999</c:v>
                </c:pt>
                <c:pt idx="1">
                  <c:v>35254.213000000003</c:v>
                </c:pt>
                <c:pt idx="2">
                  <c:v>58803.953000000001</c:v>
                </c:pt>
                <c:pt idx="3">
                  <c:v>57956.749000000003</c:v>
                </c:pt>
                <c:pt idx="4">
                  <c:v>64546.697</c:v>
                </c:pt>
                <c:pt idx="5">
                  <c:v>68879.936000000002</c:v>
                </c:pt>
                <c:pt idx="6">
                  <c:v>79175.066000000006</c:v>
                </c:pt>
              </c:numCache>
            </c:numRef>
          </c:val>
          <c:extLst>
            <c:ext xmlns:c16="http://schemas.microsoft.com/office/drawing/2014/chart" uri="{C3380CC4-5D6E-409C-BE32-E72D297353CC}">
              <c16:uniqueId val="{00000001-B3C4-4152-8860-B7FD52998545}"/>
            </c:ext>
          </c:extLst>
        </c:ser>
        <c:dLbls>
          <c:showLegendKey val="0"/>
          <c:showVal val="0"/>
          <c:showCatName val="0"/>
          <c:showSerName val="0"/>
          <c:showPercent val="0"/>
          <c:showBubbleSize val="0"/>
        </c:dLbls>
        <c:gapWidth val="219"/>
        <c:axId val="975383128"/>
        <c:axId val="975384304"/>
      </c:barChart>
      <c:lineChart>
        <c:grouping val="standard"/>
        <c:varyColors val="0"/>
        <c:ser>
          <c:idx val="0"/>
          <c:order val="0"/>
          <c:tx>
            <c:strRef>
              <c:f>'Kosmētikas un frmācijas eksport'!$A$11</c:f>
              <c:strCache>
                <c:ptCount val="1"/>
                <c:pt idx="0">
                  <c:v>Farmaceitisko pamatvielu un farmaceitisko preparātu ražošana, 2009=100</c:v>
                </c:pt>
              </c:strCache>
            </c:strRef>
          </c:tx>
          <c:spPr>
            <a:ln w="31750" cap="rnd">
              <a:solidFill>
                <a:schemeClr val="accent1"/>
              </a:solidFill>
              <a:round/>
            </a:ln>
            <a:effectLst/>
          </c:spPr>
          <c:marker>
            <c:symbol val="none"/>
          </c:marker>
          <c:cat>
            <c:strRef>
              <c:f>'Kosmētikas un frmācijas eksport'!$B$10:$H$10</c:f>
              <c:strCache>
                <c:ptCount val="7"/>
                <c:pt idx="0">
                  <c:v>2009</c:v>
                </c:pt>
                <c:pt idx="1">
                  <c:v>2010</c:v>
                </c:pt>
                <c:pt idx="2">
                  <c:v>2011</c:v>
                </c:pt>
                <c:pt idx="3">
                  <c:v>2012</c:v>
                </c:pt>
                <c:pt idx="4">
                  <c:v>2013</c:v>
                </c:pt>
                <c:pt idx="5">
                  <c:v>2014</c:v>
                </c:pt>
                <c:pt idx="6">
                  <c:v>2015</c:v>
                </c:pt>
              </c:strCache>
            </c:strRef>
          </c:cat>
          <c:val>
            <c:numRef>
              <c:f>'Kosmētikas un frmācijas eksport'!$B$11:$H$11</c:f>
              <c:numCache>
                <c:formatCode>#,##0</c:formatCode>
                <c:ptCount val="7"/>
                <c:pt idx="0">
                  <c:v>100</c:v>
                </c:pt>
                <c:pt idx="1">
                  <c:v>132.94781688957426</c:v>
                </c:pt>
                <c:pt idx="2">
                  <c:v>143.77390943329084</c:v>
                </c:pt>
                <c:pt idx="3">
                  <c:v>174.98789082965115</c:v>
                </c:pt>
                <c:pt idx="4">
                  <c:v>167.80641143501083</c:v>
                </c:pt>
                <c:pt idx="5">
                  <c:v>144.52220673566421</c:v>
                </c:pt>
                <c:pt idx="6">
                  <c:v>131.80510661012426</c:v>
                </c:pt>
              </c:numCache>
            </c:numRef>
          </c:val>
          <c:smooth val="0"/>
          <c:extLst>
            <c:ext xmlns:c16="http://schemas.microsoft.com/office/drawing/2014/chart" uri="{C3380CC4-5D6E-409C-BE32-E72D297353CC}">
              <c16:uniqueId val="{00000002-B3C4-4152-8860-B7FD52998545}"/>
            </c:ext>
          </c:extLst>
        </c:ser>
        <c:ser>
          <c:idx val="1"/>
          <c:order val="1"/>
          <c:tx>
            <c:strRef>
              <c:f>'Kosmētikas un frmācijas eksport'!$A$12</c:f>
              <c:strCache>
                <c:ptCount val="1"/>
                <c:pt idx="0">
                  <c:v>Kosmētikas un ķermeņa kopšanas līdzekļi*, 2009=100</c:v>
                </c:pt>
              </c:strCache>
            </c:strRef>
          </c:tx>
          <c:spPr>
            <a:ln w="31750" cap="rnd">
              <a:solidFill>
                <a:schemeClr val="accent2"/>
              </a:solidFill>
              <a:round/>
            </a:ln>
            <a:effectLst/>
          </c:spPr>
          <c:marker>
            <c:symbol val="none"/>
          </c:marker>
          <c:cat>
            <c:strRef>
              <c:f>'Kosmētikas un frmācijas eksport'!$B$10:$H$10</c:f>
              <c:strCache>
                <c:ptCount val="7"/>
                <c:pt idx="0">
                  <c:v>2009</c:v>
                </c:pt>
                <c:pt idx="1">
                  <c:v>2010</c:v>
                </c:pt>
                <c:pt idx="2">
                  <c:v>2011</c:v>
                </c:pt>
                <c:pt idx="3">
                  <c:v>2012</c:v>
                </c:pt>
                <c:pt idx="4">
                  <c:v>2013</c:v>
                </c:pt>
                <c:pt idx="5">
                  <c:v>2014</c:v>
                </c:pt>
                <c:pt idx="6">
                  <c:v>2015</c:v>
                </c:pt>
              </c:strCache>
            </c:strRef>
          </c:cat>
          <c:val>
            <c:numRef>
              <c:f>'Kosmētikas un frmācijas eksport'!$B$12:$H$12</c:f>
              <c:numCache>
                <c:formatCode>#,##0</c:formatCode>
                <c:ptCount val="7"/>
                <c:pt idx="0">
                  <c:v>100</c:v>
                </c:pt>
                <c:pt idx="1">
                  <c:v>104.68398464378903</c:v>
                </c:pt>
                <c:pt idx="2">
                  <c:v>174.61266580666802</c:v>
                </c:pt>
                <c:pt idx="3">
                  <c:v>172.09697525569311</c:v>
                </c:pt>
                <c:pt idx="4">
                  <c:v>191.66519013075978</c:v>
                </c:pt>
                <c:pt idx="5">
                  <c:v>204.53232532773234</c:v>
                </c:pt>
                <c:pt idx="6">
                  <c:v>235.10272072489556</c:v>
                </c:pt>
              </c:numCache>
            </c:numRef>
          </c:val>
          <c:smooth val="0"/>
          <c:extLst>
            <c:ext xmlns:c16="http://schemas.microsoft.com/office/drawing/2014/chart" uri="{C3380CC4-5D6E-409C-BE32-E72D297353CC}">
              <c16:uniqueId val="{00000003-B3C4-4152-8860-B7FD52998545}"/>
            </c:ext>
          </c:extLst>
        </c:ser>
        <c:dLbls>
          <c:showLegendKey val="0"/>
          <c:showVal val="0"/>
          <c:showCatName val="0"/>
          <c:showSerName val="0"/>
          <c:showPercent val="0"/>
          <c:showBubbleSize val="0"/>
        </c:dLbls>
        <c:marker val="1"/>
        <c:smooth val="0"/>
        <c:axId val="975382344"/>
        <c:axId val="975374504"/>
      </c:lineChart>
      <c:catAx>
        <c:axId val="975383128"/>
        <c:scaling>
          <c:orientation val="minMax"/>
        </c:scaling>
        <c:delete val="0"/>
        <c:axPos val="b"/>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975384304"/>
        <c:crosses val="autoZero"/>
        <c:auto val="1"/>
        <c:lblAlgn val="ctr"/>
        <c:lblOffset val="100"/>
        <c:noMultiLvlLbl val="0"/>
      </c:catAx>
      <c:valAx>
        <c:axId val="975384304"/>
        <c:scaling>
          <c:orientation val="minMax"/>
        </c:scaling>
        <c:delete val="0"/>
        <c:axPos val="l"/>
        <c:majorGridlines>
          <c:spPr>
            <a:ln w="9525" cap="flat" cmpd="sng" algn="ctr">
              <a:solidFill>
                <a:schemeClr val="tx2">
                  <a:lumMod val="15000"/>
                  <a:lumOff val="85000"/>
                </a:schemeClr>
              </a:solidFill>
              <a:round/>
            </a:ln>
            <a:effectLst/>
          </c:spPr>
        </c:majorGridlines>
        <c:title>
          <c:tx>
            <c:rich>
              <a:bodyPr rot="-5400000" spcFirstLastPara="1" vertOverflow="ellipsis" vert="horz" wrap="square" anchor="ctr" anchorCtr="1"/>
              <a:lstStyle/>
              <a:p>
                <a:pPr>
                  <a:defRPr sz="900" b="1" i="0" u="none" strike="noStrike" kern="1200" baseline="0">
                    <a:solidFill>
                      <a:schemeClr val="tx2"/>
                    </a:solidFill>
                    <a:latin typeface="+mn-lt"/>
                    <a:ea typeface="+mn-ea"/>
                    <a:cs typeface="+mn-cs"/>
                  </a:defRPr>
                </a:pPr>
                <a:r>
                  <a:rPr lang="en-US"/>
                  <a:t>tūkst. eiro</a:t>
                </a:r>
              </a:p>
            </c:rich>
          </c:tx>
          <c:overlay val="0"/>
          <c:spPr>
            <a:noFill/>
            <a:ln>
              <a:noFill/>
            </a:ln>
            <a:effectLst/>
          </c:spPr>
          <c:txPr>
            <a:bodyPr rot="-5400000" spcFirstLastPara="1" vertOverflow="ellipsis" vert="horz" wrap="square" anchor="ctr" anchorCtr="1"/>
            <a:lstStyle/>
            <a:p>
              <a:pPr>
                <a:defRPr sz="900" b="1" i="0" u="none" strike="noStrike" kern="1200" baseline="0">
                  <a:solidFill>
                    <a:schemeClr val="tx2"/>
                  </a:solidFill>
                  <a:latin typeface="+mn-lt"/>
                  <a:ea typeface="+mn-ea"/>
                  <a:cs typeface="+mn-cs"/>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975383128"/>
        <c:crosses val="autoZero"/>
        <c:crossBetween val="between"/>
      </c:valAx>
      <c:valAx>
        <c:axId val="975374504"/>
        <c:scaling>
          <c:orientation val="minMax"/>
        </c:scaling>
        <c:delete val="0"/>
        <c:axPos val="r"/>
        <c:title>
          <c:tx>
            <c:rich>
              <a:bodyPr rot="-5400000" spcFirstLastPara="1" vertOverflow="ellipsis" vert="horz" wrap="square" anchor="ctr" anchorCtr="1"/>
              <a:lstStyle/>
              <a:p>
                <a:pPr>
                  <a:defRPr sz="900" b="1" i="0" u="none" strike="noStrike" kern="1200" baseline="0">
                    <a:solidFill>
                      <a:schemeClr val="tx2"/>
                    </a:solidFill>
                    <a:latin typeface="+mn-lt"/>
                    <a:ea typeface="+mn-ea"/>
                    <a:cs typeface="+mn-cs"/>
                  </a:defRPr>
                </a:pPr>
                <a:r>
                  <a:rPr lang="en-US"/>
                  <a:t>2009=100</a:t>
                </a:r>
              </a:p>
            </c:rich>
          </c:tx>
          <c:overlay val="0"/>
          <c:spPr>
            <a:noFill/>
            <a:ln>
              <a:noFill/>
            </a:ln>
            <a:effectLst/>
          </c:spPr>
          <c:txPr>
            <a:bodyPr rot="-5400000" spcFirstLastPara="1" vertOverflow="ellipsis" vert="horz" wrap="square" anchor="ctr" anchorCtr="1"/>
            <a:lstStyle/>
            <a:p>
              <a:pPr>
                <a:defRPr sz="900" b="1" i="0" u="none" strike="noStrike" kern="1200" baseline="0">
                  <a:solidFill>
                    <a:schemeClr val="tx2"/>
                  </a:solidFill>
                  <a:latin typeface="+mn-lt"/>
                  <a:ea typeface="+mn-ea"/>
                  <a:cs typeface="+mn-cs"/>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975382344"/>
        <c:crosses val="max"/>
        <c:crossBetween val="between"/>
      </c:valAx>
      <c:catAx>
        <c:axId val="975382344"/>
        <c:scaling>
          <c:orientation val="minMax"/>
        </c:scaling>
        <c:delete val="1"/>
        <c:axPos val="b"/>
        <c:numFmt formatCode="General" sourceLinked="1"/>
        <c:majorTickMark val="none"/>
        <c:minorTickMark val="none"/>
        <c:tickLblPos val="nextTo"/>
        <c:crossAx val="975374504"/>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532161900815031"/>
          <c:y val="6.2499812523434582E-2"/>
          <c:w val="0.48491250172675782"/>
          <c:h val="0.82261942257217846"/>
        </c:manualLayout>
      </c:layout>
      <c:pieChart>
        <c:varyColors val="1"/>
        <c:ser>
          <c:idx val="0"/>
          <c:order val="0"/>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extLst>
              <c:ext xmlns:c16="http://schemas.microsoft.com/office/drawing/2014/chart" uri="{C3380CC4-5D6E-409C-BE32-E72D297353CC}">
                <c16:uniqueId val="{00000001-C328-4016-AEB3-F42079BB6087}"/>
              </c:ext>
            </c:extLst>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c:spPr>
            <c:extLst>
              <c:ext xmlns:c16="http://schemas.microsoft.com/office/drawing/2014/chart" uri="{C3380CC4-5D6E-409C-BE32-E72D297353CC}">
                <c16:uniqueId val="{00000003-C328-4016-AEB3-F42079BB6087}"/>
              </c:ext>
            </c:extLst>
          </c:dPt>
          <c:dPt>
            <c:idx val="2"/>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c:spPr>
            <c:extLst>
              <c:ext xmlns:c16="http://schemas.microsoft.com/office/drawing/2014/chart" uri="{C3380CC4-5D6E-409C-BE32-E72D297353CC}">
                <c16:uniqueId val="{00000005-C328-4016-AEB3-F42079BB6087}"/>
              </c:ext>
            </c:extLst>
          </c:dPt>
          <c:dPt>
            <c:idx val="3"/>
            <c:bubble3D val="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c:spPr>
            <c:extLst>
              <c:ext xmlns:c16="http://schemas.microsoft.com/office/drawing/2014/chart" uri="{C3380CC4-5D6E-409C-BE32-E72D297353CC}">
                <c16:uniqueId val="{00000007-C328-4016-AEB3-F42079BB6087}"/>
              </c:ext>
            </c:extLst>
          </c:dPt>
          <c:dLbls>
            <c:dLbl>
              <c:idx val="3"/>
              <c:layout>
                <c:manualLayout>
                  <c:x val="7.2611161700025595E-3"/>
                  <c:y val="4.2145593869731802E-2"/>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7-C328-4016-AEB3-F42079BB6087}"/>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tx2">
                      <a:lumMod val="35000"/>
                      <a:lumOff val="65000"/>
                    </a:schemeClr>
                  </a:solidFill>
                </a:ln>
                <a:effectLst/>
              </c:spPr>
            </c:leaderLines>
            <c:extLst>
              <c:ext xmlns:c15="http://schemas.microsoft.com/office/drawing/2012/chart" uri="{CE6537A1-D6FC-4f65-9D91-7224C49458BB}"/>
            </c:extLst>
          </c:dLbls>
          <c:cat>
            <c:strRef>
              <c:f>'Nozaru struktūra'!$A$17:$A$20</c:f>
              <c:strCache>
                <c:ptCount val="4"/>
                <c:pt idx="0">
                  <c:v>Aptiekas</c:v>
                </c:pt>
                <c:pt idx="1">
                  <c:v>Citas lieltirgotavas</c:v>
                </c:pt>
                <c:pt idx="2">
                  <c:v>Ārstniecības iestādes</c:v>
                </c:pt>
                <c:pt idx="3">
                  <c:v>Pārējie</c:v>
                </c:pt>
              </c:strCache>
            </c:strRef>
          </c:cat>
          <c:val>
            <c:numRef>
              <c:f>'Nozaru struktūra'!$B$17:$B$20</c:f>
              <c:numCache>
                <c:formatCode>0%</c:formatCode>
                <c:ptCount val="4"/>
                <c:pt idx="0">
                  <c:v>0.62</c:v>
                </c:pt>
                <c:pt idx="1">
                  <c:v>0.27</c:v>
                </c:pt>
                <c:pt idx="2">
                  <c:v>0.09</c:v>
                </c:pt>
                <c:pt idx="3">
                  <c:v>0.02</c:v>
                </c:pt>
              </c:numCache>
            </c:numRef>
          </c:val>
          <c:extLst>
            <c:ext xmlns:c16="http://schemas.microsoft.com/office/drawing/2014/chart" uri="{C3380CC4-5D6E-409C-BE32-E72D297353CC}">
              <c16:uniqueId val="{00000008-C328-4016-AEB3-F42079BB6087}"/>
            </c:ext>
          </c:extLst>
        </c:ser>
        <c:dLbls>
          <c:showLegendKey val="0"/>
          <c:showVal val="0"/>
          <c:showCatName val="0"/>
          <c:showSerName val="0"/>
          <c:showPercent val="1"/>
          <c:showBubbleSize val="0"/>
          <c:showLeaderLines val="1"/>
        </c:dLbls>
        <c:firstSliceAng val="0"/>
      </c:pieChart>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326">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dk1">
            <a:lumMod val="75000"/>
            <a:lumOff val="25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dk1">
            <a:lumMod val="75000"/>
            <a:lumOff val="25000"/>
          </a:schemeClr>
        </a:solidFill>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5.xml><?xml version="1.0" encoding="utf-8"?>
<cs:chartStyle xmlns:cs="http://schemas.microsoft.com/office/drawing/2012/chartStyle" xmlns:a="http://schemas.openxmlformats.org/drawingml/2006/main" id="326">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dk1">
            <a:lumMod val="75000"/>
            <a:lumOff val="25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dk1">
            <a:lumMod val="75000"/>
            <a:lumOff val="25000"/>
          </a:schemeClr>
        </a:solidFill>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6.xml><?xml version="1.0" encoding="utf-8"?>
<cs:chartStyle xmlns:cs="http://schemas.microsoft.com/office/drawing/2012/chartStyle" xmlns:a="http://schemas.openxmlformats.org/drawingml/2006/main" id="255">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diagrams/colors1.xml><?xml version="1.0" encoding="utf-8"?>
<dgm:colorsDef xmlns:dgm="http://schemas.openxmlformats.org/drawingml/2006/diagram" xmlns:a="http://schemas.openxmlformats.org/drawingml/2006/main" uniqueId="urn:microsoft.com/office/officeart/2005/8/colors/colorful1#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1#2">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A016FD6-3CB4-4EFB-9DF1-69A1DA4A0B9D}" type="doc">
      <dgm:prSet loTypeId="urn:microsoft.com/office/officeart/2005/8/layout/hierarchy5" loCatId="hierarchy" qsTypeId="urn:microsoft.com/office/officeart/2005/8/quickstyle/simple5" qsCatId="simple" csTypeId="urn:microsoft.com/office/officeart/2005/8/colors/colorful1#1" csCatId="colorful" phldr="1"/>
      <dgm:spPr/>
      <dgm:t>
        <a:bodyPr/>
        <a:lstStyle/>
        <a:p>
          <a:endParaRPr lang="lv-LV"/>
        </a:p>
      </dgm:t>
    </dgm:pt>
    <dgm:pt modelId="{9C5173EA-0171-46E8-94B6-C1E2A1AB986B}">
      <dgm:prSet phldrT="[Text]"/>
      <dgm:spPr/>
      <dgm:t>
        <a:bodyPr/>
        <a:lstStyle/>
        <a:p>
          <a:r>
            <a:rPr lang="lv-LV"/>
            <a:t>Galvenie šķēršļi</a:t>
          </a:r>
        </a:p>
      </dgm:t>
    </dgm:pt>
    <dgm:pt modelId="{07598AEA-E14A-4658-B2AC-435DCC52E527}" type="parTrans" cxnId="{78DD4FE1-651D-4E5E-857D-80674B4C1C52}">
      <dgm:prSet/>
      <dgm:spPr/>
      <dgm:t>
        <a:bodyPr/>
        <a:lstStyle/>
        <a:p>
          <a:endParaRPr lang="lv-LV"/>
        </a:p>
      </dgm:t>
    </dgm:pt>
    <dgm:pt modelId="{C5F21CB8-BD51-4095-9A2F-9164944FAA04}" type="sibTrans" cxnId="{78DD4FE1-651D-4E5E-857D-80674B4C1C52}">
      <dgm:prSet/>
      <dgm:spPr/>
      <dgm:t>
        <a:bodyPr/>
        <a:lstStyle/>
        <a:p>
          <a:endParaRPr lang="lv-LV"/>
        </a:p>
      </dgm:t>
    </dgm:pt>
    <dgm:pt modelId="{2F8FE610-7E1C-4E98-A942-41F1573244F6}">
      <dgm:prSet phldrT="[Text]"/>
      <dgm:spPr/>
      <dgm:t>
        <a:bodyPr/>
        <a:lstStyle/>
        <a:p>
          <a:r>
            <a:rPr lang="lv-LV"/>
            <a:t>Cilvēkresursi</a:t>
          </a:r>
        </a:p>
      </dgm:t>
    </dgm:pt>
    <dgm:pt modelId="{B5DE50B1-B0EA-4536-86C6-7AE5DE94B035}" type="parTrans" cxnId="{60C3CC2C-F5DB-42FE-8317-FCBD96BCE219}">
      <dgm:prSet/>
      <dgm:spPr/>
      <dgm:t>
        <a:bodyPr/>
        <a:lstStyle/>
        <a:p>
          <a:endParaRPr lang="lv-LV"/>
        </a:p>
      </dgm:t>
    </dgm:pt>
    <dgm:pt modelId="{D41C9BEA-F94D-4D2D-8E48-64583DE7F2DC}" type="sibTrans" cxnId="{60C3CC2C-F5DB-42FE-8317-FCBD96BCE219}">
      <dgm:prSet/>
      <dgm:spPr/>
      <dgm:t>
        <a:bodyPr/>
        <a:lstStyle/>
        <a:p>
          <a:endParaRPr lang="lv-LV"/>
        </a:p>
      </dgm:t>
    </dgm:pt>
    <dgm:pt modelId="{BAC7C5CB-0C41-4343-94EB-0F68131CF591}">
      <dgm:prSet phldrT="[Text]"/>
      <dgm:spPr/>
      <dgm:t>
        <a:bodyPr/>
        <a:lstStyle/>
        <a:p>
          <a:r>
            <a:rPr lang="lv-LV"/>
            <a:t>P&amp;A&amp;I pakalpojumu un infrastruktūras pieejamība</a:t>
          </a:r>
        </a:p>
      </dgm:t>
    </dgm:pt>
    <dgm:pt modelId="{FBAD555A-3609-436B-9D63-B0AB6B03B973}" type="parTrans" cxnId="{4F2C23CB-41F0-46CB-8B2E-E2211F97E8CF}">
      <dgm:prSet/>
      <dgm:spPr/>
      <dgm:t>
        <a:bodyPr/>
        <a:lstStyle/>
        <a:p>
          <a:endParaRPr lang="lv-LV"/>
        </a:p>
      </dgm:t>
    </dgm:pt>
    <dgm:pt modelId="{6AF5F4BC-A47C-47BE-A676-C5F5EB7D708F}" type="sibTrans" cxnId="{4F2C23CB-41F0-46CB-8B2E-E2211F97E8CF}">
      <dgm:prSet/>
      <dgm:spPr/>
      <dgm:t>
        <a:bodyPr/>
        <a:lstStyle/>
        <a:p>
          <a:endParaRPr lang="lv-LV"/>
        </a:p>
      </dgm:t>
    </dgm:pt>
    <dgm:pt modelId="{A3ADA123-2972-4584-891E-9468617CDAB5}">
      <dgm:prSet phldrT="[Text]"/>
      <dgm:spPr/>
      <dgm:t>
        <a:bodyPr/>
        <a:lstStyle/>
        <a:p>
          <a:r>
            <a:rPr lang="lv-LV"/>
            <a:t>Mazs iekšējais tirgus</a:t>
          </a:r>
        </a:p>
      </dgm:t>
    </dgm:pt>
    <dgm:pt modelId="{AB9F328E-9DF7-49FC-A6F2-2A0C6F98A792}" type="parTrans" cxnId="{B97FD10E-25B8-4DFF-BE71-2E3465B52089}">
      <dgm:prSet/>
      <dgm:spPr/>
      <dgm:t>
        <a:bodyPr/>
        <a:lstStyle/>
        <a:p>
          <a:endParaRPr lang="lv-LV"/>
        </a:p>
      </dgm:t>
    </dgm:pt>
    <dgm:pt modelId="{1DAE3584-64AC-48D0-AB80-2B920B3884FC}" type="sibTrans" cxnId="{B97FD10E-25B8-4DFF-BE71-2E3465B52089}">
      <dgm:prSet/>
      <dgm:spPr/>
      <dgm:t>
        <a:bodyPr/>
        <a:lstStyle/>
        <a:p>
          <a:endParaRPr lang="lv-LV"/>
        </a:p>
      </dgm:t>
    </dgm:pt>
    <dgm:pt modelId="{775AE93F-29FC-43F7-889F-BA52C95FFC8B}">
      <dgm:prSet phldrT="[Text]"/>
      <dgm:spPr/>
      <dgm:t>
        <a:bodyPr/>
        <a:lstStyle/>
        <a:p>
          <a:r>
            <a:rPr lang="lv-LV"/>
            <a:t>Sektoriem specifiski šķēršļi</a:t>
          </a:r>
        </a:p>
      </dgm:t>
    </dgm:pt>
    <dgm:pt modelId="{66B8454D-7120-4CE3-A926-28B8C2E16EE5}" type="parTrans" cxnId="{6D988552-833A-4532-A481-82367B357943}">
      <dgm:prSet/>
      <dgm:spPr/>
      <dgm:t>
        <a:bodyPr/>
        <a:lstStyle/>
        <a:p>
          <a:endParaRPr lang="lv-LV"/>
        </a:p>
      </dgm:t>
    </dgm:pt>
    <dgm:pt modelId="{24BABC95-E036-4B54-A188-316062922944}" type="sibTrans" cxnId="{6D988552-833A-4532-A481-82367B357943}">
      <dgm:prSet/>
      <dgm:spPr/>
      <dgm:t>
        <a:bodyPr/>
        <a:lstStyle/>
        <a:p>
          <a:endParaRPr lang="lv-LV"/>
        </a:p>
      </dgm:t>
    </dgm:pt>
    <dgm:pt modelId="{1FE46A0A-A943-4EA1-B696-37C38B8F4597}">
      <dgm:prSet phldrT="[Text]"/>
      <dgm:spPr/>
      <dgm:t>
        <a:bodyPr/>
        <a:lstStyle/>
        <a:p>
          <a:r>
            <a:rPr lang="lv-LV"/>
            <a:t>Zāļu reģistrācija</a:t>
          </a:r>
        </a:p>
      </dgm:t>
    </dgm:pt>
    <dgm:pt modelId="{EF6CEF93-A6A3-4633-A2A9-9EA7C32C1D61}" type="parTrans" cxnId="{8D1075DF-AB1D-4E27-9EB3-8C2A79008CD0}">
      <dgm:prSet/>
      <dgm:spPr/>
      <dgm:t>
        <a:bodyPr/>
        <a:lstStyle/>
        <a:p>
          <a:endParaRPr lang="lv-LV"/>
        </a:p>
      </dgm:t>
    </dgm:pt>
    <dgm:pt modelId="{A7A1588A-2AE0-430B-946E-E001FBBD428D}" type="sibTrans" cxnId="{8D1075DF-AB1D-4E27-9EB3-8C2A79008CD0}">
      <dgm:prSet/>
      <dgm:spPr/>
      <dgm:t>
        <a:bodyPr/>
        <a:lstStyle/>
        <a:p>
          <a:endParaRPr lang="lv-LV"/>
        </a:p>
      </dgm:t>
    </dgm:pt>
    <dgm:pt modelId="{124D91FD-1A8A-4966-9DFF-BAEEC792924A}">
      <dgm:prSet phldrT="[Text]"/>
      <dgm:spPr/>
      <dgm:t>
        <a:bodyPr/>
        <a:lstStyle/>
        <a:p>
          <a:r>
            <a:rPr lang="lv-LV"/>
            <a:t>Lēna atdeve no jauniem produktiem</a:t>
          </a:r>
        </a:p>
      </dgm:t>
    </dgm:pt>
    <dgm:pt modelId="{97030FB8-3822-4B83-9D38-C9A8464E2D27}" type="parTrans" cxnId="{B7F20558-3729-4172-B830-B8602813F621}">
      <dgm:prSet/>
      <dgm:spPr/>
      <dgm:t>
        <a:bodyPr/>
        <a:lstStyle/>
        <a:p>
          <a:endParaRPr lang="lv-LV"/>
        </a:p>
      </dgm:t>
    </dgm:pt>
    <dgm:pt modelId="{7ACAD30A-68C3-4320-A20A-34A5CEEE2185}" type="sibTrans" cxnId="{B7F20558-3729-4172-B830-B8602813F621}">
      <dgm:prSet/>
      <dgm:spPr/>
      <dgm:t>
        <a:bodyPr/>
        <a:lstStyle/>
        <a:p>
          <a:endParaRPr lang="lv-LV"/>
        </a:p>
      </dgm:t>
    </dgm:pt>
    <dgm:pt modelId="{4BEF5B4A-6972-4D45-9EF1-831272E04244}">
      <dgm:prSet phldrT="[Text]"/>
      <dgm:spPr/>
      <dgm:t>
        <a:bodyPr/>
        <a:lstStyle/>
        <a:p>
          <a:r>
            <a:rPr lang="lv-LV"/>
            <a:t>Enerģijas cena</a:t>
          </a:r>
        </a:p>
      </dgm:t>
    </dgm:pt>
    <dgm:pt modelId="{71A613ED-05CC-4EE5-B69C-A30E56226F14}" type="parTrans" cxnId="{D2600675-A26E-4AFB-A190-1B725E194F46}">
      <dgm:prSet/>
      <dgm:spPr/>
      <dgm:t>
        <a:bodyPr/>
        <a:lstStyle/>
        <a:p>
          <a:endParaRPr lang="lv-LV"/>
        </a:p>
      </dgm:t>
    </dgm:pt>
    <dgm:pt modelId="{6B140DE9-6F14-4758-859E-A661CE66757D}" type="sibTrans" cxnId="{D2600675-A26E-4AFB-A190-1B725E194F46}">
      <dgm:prSet/>
      <dgm:spPr/>
      <dgm:t>
        <a:bodyPr/>
        <a:lstStyle/>
        <a:p>
          <a:endParaRPr lang="lv-LV"/>
        </a:p>
      </dgm:t>
    </dgm:pt>
    <dgm:pt modelId="{5D9A592E-61B6-4FDE-A8EF-969FDD4E9C91}">
      <dgm:prSet phldrT="[Text]"/>
      <dgm:spPr/>
      <dgm:t>
        <a:bodyPr/>
        <a:lstStyle/>
        <a:p>
          <a:r>
            <a:rPr lang="lv-LV"/>
            <a:t>Finansējuma pieejamība MVU</a:t>
          </a:r>
        </a:p>
      </dgm:t>
    </dgm:pt>
    <dgm:pt modelId="{0D3F7E21-2260-4558-8A54-15C845C401FF}" type="parTrans" cxnId="{C7A7211D-DB72-440E-8B66-876314834535}">
      <dgm:prSet/>
      <dgm:spPr/>
      <dgm:t>
        <a:bodyPr/>
        <a:lstStyle/>
        <a:p>
          <a:endParaRPr lang="lv-LV"/>
        </a:p>
      </dgm:t>
    </dgm:pt>
    <dgm:pt modelId="{7D822493-33DA-4EE0-88EC-163C4AA9642B}" type="sibTrans" cxnId="{C7A7211D-DB72-440E-8B66-876314834535}">
      <dgm:prSet/>
      <dgm:spPr/>
      <dgm:t>
        <a:bodyPr/>
        <a:lstStyle/>
        <a:p>
          <a:endParaRPr lang="lv-LV"/>
        </a:p>
      </dgm:t>
    </dgm:pt>
    <dgm:pt modelId="{B3219C6F-D984-4803-A3AF-8E6A6777576D}" type="pres">
      <dgm:prSet presAssocID="{1A016FD6-3CB4-4EFB-9DF1-69A1DA4A0B9D}" presName="mainComposite" presStyleCnt="0">
        <dgm:presLayoutVars>
          <dgm:chPref val="1"/>
          <dgm:dir/>
          <dgm:animOne val="branch"/>
          <dgm:animLvl val="lvl"/>
          <dgm:resizeHandles val="exact"/>
        </dgm:presLayoutVars>
      </dgm:prSet>
      <dgm:spPr/>
    </dgm:pt>
    <dgm:pt modelId="{9B5C0A1D-DD33-426C-8565-F27530F14FAC}" type="pres">
      <dgm:prSet presAssocID="{1A016FD6-3CB4-4EFB-9DF1-69A1DA4A0B9D}" presName="hierFlow" presStyleCnt="0"/>
      <dgm:spPr/>
    </dgm:pt>
    <dgm:pt modelId="{4BB6E4D4-F190-42EF-99EA-6B5A80DC6375}" type="pres">
      <dgm:prSet presAssocID="{1A016FD6-3CB4-4EFB-9DF1-69A1DA4A0B9D}" presName="hierChild1" presStyleCnt="0">
        <dgm:presLayoutVars>
          <dgm:chPref val="1"/>
          <dgm:animOne val="branch"/>
          <dgm:animLvl val="lvl"/>
        </dgm:presLayoutVars>
      </dgm:prSet>
      <dgm:spPr/>
    </dgm:pt>
    <dgm:pt modelId="{98D72E1E-E827-488C-900A-0DEC73383609}" type="pres">
      <dgm:prSet presAssocID="{9C5173EA-0171-46E8-94B6-C1E2A1AB986B}" presName="Name17" presStyleCnt="0"/>
      <dgm:spPr/>
    </dgm:pt>
    <dgm:pt modelId="{3047A5E6-0A87-438E-8B10-C883F75AE062}" type="pres">
      <dgm:prSet presAssocID="{9C5173EA-0171-46E8-94B6-C1E2A1AB986B}" presName="level1Shape" presStyleLbl="node0" presStyleIdx="0" presStyleCnt="1">
        <dgm:presLayoutVars>
          <dgm:chPref val="3"/>
        </dgm:presLayoutVars>
      </dgm:prSet>
      <dgm:spPr/>
    </dgm:pt>
    <dgm:pt modelId="{C0B69883-AFB7-4839-9FE6-E6F2B9FBA806}" type="pres">
      <dgm:prSet presAssocID="{9C5173EA-0171-46E8-94B6-C1E2A1AB986B}" presName="hierChild2" presStyleCnt="0"/>
      <dgm:spPr/>
    </dgm:pt>
    <dgm:pt modelId="{142F4F35-61D1-4652-878F-91DE4D190E5F}" type="pres">
      <dgm:prSet presAssocID="{B5DE50B1-B0EA-4536-86C6-7AE5DE94B035}" presName="Name25" presStyleLbl="parChTrans1D2" presStyleIdx="0" presStyleCnt="5"/>
      <dgm:spPr/>
    </dgm:pt>
    <dgm:pt modelId="{91FEC469-B9E5-426E-9712-67A4760088F0}" type="pres">
      <dgm:prSet presAssocID="{B5DE50B1-B0EA-4536-86C6-7AE5DE94B035}" presName="connTx" presStyleLbl="parChTrans1D2" presStyleIdx="0" presStyleCnt="5"/>
      <dgm:spPr/>
    </dgm:pt>
    <dgm:pt modelId="{E231AFD9-6431-430E-A07C-DE0767D9FF7D}" type="pres">
      <dgm:prSet presAssocID="{2F8FE610-7E1C-4E98-A942-41F1573244F6}" presName="Name30" presStyleCnt="0"/>
      <dgm:spPr/>
    </dgm:pt>
    <dgm:pt modelId="{69D07383-F788-4E83-BCF2-0098AFD82071}" type="pres">
      <dgm:prSet presAssocID="{2F8FE610-7E1C-4E98-A942-41F1573244F6}" presName="level2Shape" presStyleLbl="node2" presStyleIdx="0" presStyleCnt="5"/>
      <dgm:spPr/>
    </dgm:pt>
    <dgm:pt modelId="{D8686D20-8863-4A6C-A974-FAC4EC2E0039}" type="pres">
      <dgm:prSet presAssocID="{2F8FE610-7E1C-4E98-A942-41F1573244F6}" presName="hierChild3" presStyleCnt="0"/>
      <dgm:spPr/>
    </dgm:pt>
    <dgm:pt modelId="{167CF10D-163C-41D8-B6C1-D2E934A78647}" type="pres">
      <dgm:prSet presAssocID="{FBAD555A-3609-436B-9D63-B0AB6B03B973}" presName="Name25" presStyleLbl="parChTrans1D2" presStyleIdx="1" presStyleCnt="5"/>
      <dgm:spPr/>
    </dgm:pt>
    <dgm:pt modelId="{454139B6-B306-4E7A-8D7C-D923BAC9372B}" type="pres">
      <dgm:prSet presAssocID="{FBAD555A-3609-436B-9D63-B0AB6B03B973}" presName="connTx" presStyleLbl="parChTrans1D2" presStyleIdx="1" presStyleCnt="5"/>
      <dgm:spPr/>
    </dgm:pt>
    <dgm:pt modelId="{87555C54-3D1D-46A0-AF6C-8C48A5E0B9AD}" type="pres">
      <dgm:prSet presAssocID="{BAC7C5CB-0C41-4343-94EB-0F68131CF591}" presName="Name30" presStyleCnt="0"/>
      <dgm:spPr/>
    </dgm:pt>
    <dgm:pt modelId="{A4EBA734-4FE7-4BAD-89EB-FADAB86262BB}" type="pres">
      <dgm:prSet presAssocID="{BAC7C5CB-0C41-4343-94EB-0F68131CF591}" presName="level2Shape" presStyleLbl="node2" presStyleIdx="1" presStyleCnt="5"/>
      <dgm:spPr/>
    </dgm:pt>
    <dgm:pt modelId="{3814B7CC-7E7E-48EE-85E8-54E3160616F5}" type="pres">
      <dgm:prSet presAssocID="{BAC7C5CB-0C41-4343-94EB-0F68131CF591}" presName="hierChild3" presStyleCnt="0"/>
      <dgm:spPr/>
    </dgm:pt>
    <dgm:pt modelId="{A1F108C3-70E6-493B-B5D6-217C9F9FD98D}" type="pres">
      <dgm:prSet presAssocID="{AB9F328E-9DF7-49FC-A6F2-2A0C6F98A792}" presName="Name25" presStyleLbl="parChTrans1D2" presStyleIdx="2" presStyleCnt="5"/>
      <dgm:spPr/>
    </dgm:pt>
    <dgm:pt modelId="{46854136-6FE7-47C9-8006-AB67C21D79D3}" type="pres">
      <dgm:prSet presAssocID="{AB9F328E-9DF7-49FC-A6F2-2A0C6F98A792}" presName="connTx" presStyleLbl="parChTrans1D2" presStyleIdx="2" presStyleCnt="5"/>
      <dgm:spPr/>
    </dgm:pt>
    <dgm:pt modelId="{188ADEC9-9392-4823-8F1E-44F4FF000835}" type="pres">
      <dgm:prSet presAssocID="{A3ADA123-2972-4584-891E-9468617CDAB5}" presName="Name30" presStyleCnt="0"/>
      <dgm:spPr/>
    </dgm:pt>
    <dgm:pt modelId="{9B83ED3D-05BE-4D13-94C9-EC7D8B6FC33D}" type="pres">
      <dgm:prSet presAssocID="{A3ADA123-2972-4584-891E-9468617CDAB5}" presName="level2Shape" presStyleLbl="node2" presStyleIdx="2" presStyleCnt="5"/>
      <dgm:spPr/>
    </dgm:pt>
    <dgm:pt modelId="{08F028DC-F95F-4DB9-9A75-284BE8ED312F}" type="pres">
      <dgm:prSet presAssocID="{A3ADA123-2972-4584-891E-9468617CDAB5}" presName="hierChild3" presStyleCnt="0"/>
      <dgm:spPr/>
    </dgm:pt>
    <dgm:pt modelId="{7C99AE60-D15A-49D5-9663-E0FDEE18117C}" type="pres">
      <dgm:prSet presAssocID="{0D3F7E21-2260-4558-8A54-15C845C401FF}" presName="Name25" presStyleLbl="parChTrans1D2" presStyleIdx="3" presStyleCnt="5"/>
      <dgm:spPr/>
    </dgm:pt>
    <dgm:pt modelId="{25A9C179-FC4C-4165-B8CE-2A073ADB3AD2}" type="pres">
      <dgm:prSet presAssocID="{0D3F7E21-2260-4558-8A54-15C845C401FF}" presName="connTx" presStyleLbl="parChTrans1D2" presStyleIdx="3" presStyleCnt="5"/>
      <dgm:spPr/>
    </dgm:pt>
    <dgm:pt modelId="{9DF61904-3AF6-4E7F-A3FD-37FE321A0D7A}" type="pres">
      <dgm:prSet presAssocID="{5D9A592E-61B6-4FDE-A8EF-969FDD4E9C91}" presName="Name30" presStyleCnt="0"/>
      <dgm:spPr/>
    </dgm:pt>
    <dgm:pt modelId="{FD897257-5321-48CD-AB05-5004AEE7E492}" type="pres">
      <dgm:prSet presAssocID="{5D9A592E-61B6-4FDE-A8EF-969FDD4E9C91}" presName="level2Shape" presStyleLbl="node2" presStyleIdx="3" presStyleCnt="5"/>
      <dgm:spPr/>
    </dgm:pt>
    <dgm:pt modelId="{5BC81E9A-16BF-4410-A2DD-8E5719278D48}" type="pres">
      <dgm:prSet presAssocID="{5D9A592E-61B6-4FDE-A8EF-969FDD4E9C91}" presName="hierChild3" presStyleCnt="0"/>
      <dgm:spPr/>
    </dgm:pt>
    <dgm:pt modelId="{058B6260-D269-41C4-942B-0FFCA84C2764}" type="pres">
      <dgm:prSet presAssocID="{66B8454D-7120-4CE3-A926-28B8C2E16EE5}" presName="Name25" presStyleLbl="parChTrans1D2" presStyleIdx="4" presStyleCnt="5"/>
      <dgm:spPr/>
    </dgm:pt>
    <dgm:pt modelId="{0B0DB810-45BB-4714-A3CB-29E97A781E3B}" type="pres">
      <dgm:prSet presAssocID="{66B8454D-7120-4CE3-A926-28B8C2E16EE5}" presName="connTx" presStyleLbl="parChTrans1D2" presStyleIdx="4" presStyleCnt="5"/>
      <dgm:spPr/>
    </dgm:pt>
    <dgm:pt modelId="{E6702DB5-7F7A-4602-A524-0B8FFD4DF0B5}" type="pres">
      <dgm:prSet presAssocID="{775AE93F-29FC-43F7-889F-BA52C95FFC8B}" presName="Name30" presStyleCnt="0"/>
      <dgm:spPr/>
    </dgm:pt>
    <dgm:pt modelId="{5EEFDF36-7A51-43EC-9903-49E46B04FEE8}" type="pres">
      <dgm:prSet presAssocID="{775AE93F-29FC-43F7-889F-BA52C95FFC8B}" presName="level2Shape" presStyleLbl="node2" presStyleIdx="4" presStyleCnt="5"/>
      <dgm:spPr/>
    </dgm:pt>
    <dgm:pt modelId="{2203CF5A-C9CC-4A7C-B272-5D23AAB5CB5C}" type="pres">
      <dgm:prSet presAssocID="{775AE93F-29FC-43F7-889F-BA52C95FFC8B}" presName="hierChild3" presStyleCnt="0"/>
      <dgm:spPr/>
    </dgm:pt>
    <dgm:pt modelId="{D38C7516-9B97-43B8-96B8-D7983570AB13}" type="pres">
      <dgm:prSet presAssocID="{EF6CEF93-A6A3-4633-A2A9-9EA7C32C1D61}" presName="Name25" presStyleLbl="parChTrans1D3" presStyleIdx="0" presStyleCnt="3"/>
      <dgm:spPr/>
    </dgm:pt>
    <dgm:pt modelId="{E218F946-E0F9-4DEA-909B-2B07976AC85C}" type="pres">
      <dgm:prSet presAssocID="{EF6CEF93-A6A3-4633-A2A9-9EA7C32C1D61}" presName="connTx" presStyleLbl="parChTrans1D3" presStyleIdx="0" presStyleCnt="3"/>
      <dgm:spPr/>
    </dgm:pt>
    <dgm:pt modelId="{F7AF4089-C3A1-4F91-B146-9FB4DB5BA123}" type="pres">
      <dgm:prSet presAssocID="{1FE46A0A-A943-4EA1-B696-37C38B8F4597}" presName="Name30" presStyleCnt="0"/>
      <dgm:spPr/>
    </dgm:pt>
    <dgm:pt modelId="{F4FFA73D-A88D-4FB0-9AEB-E1B4B2C6B2F9}" type="pres">
      <dgm:prSet presAssocID="{1FE46A0A-A943-4EA1-B696-37C38B8F4597}" presName="level2Shape" presStyleLbl="node3" presStyleIdx="0" presStyleCnt="3"/>
      <dgm:spPr/>
    </dgm:pt>
    <dgm:pt modelId="{433BD5DF-4B6A-46B3-8044-970E99E77493}" type="pres">
      <dgm:prSet presAssocID="{1FE46A0A-A943-4EA1-B696-37C38B8F4597}" presName="hierChild3" presStyleCnt="0"/>
      <dgm:spPr/>
    </dgm:pt>
    <dgm:pt modelId="{534C286B-D641-4B73-A615-DD60184E7B99}" type="pres">
      <dgm:prSet presAssocID="{97030FB8-3822-4B83-9D38-C9A8464E2D27}" presName="Name25" presStyleLbl="parChTrans1D3" presStyleIdx="1" presStyleCnt="3"/>
      <dgm:spPr/>
    </dgm:pt>
    <dgm:pt modelId="{C637D943-4992-4A99-B695-C8C73ED22222}" type="pres">
      <dgm:prSet presAssocID="{97030FB8-3822-4B83-9D38-C9A8464E2D27}" presName="connTx" presStyleLbl="parChTrans1D3" presStyleIdx="1" presStyleCnt="3"/>
      <dgm:spPr/>
    </dgm:pt>
    <dgm:pt modelId="{03A76E49-D6D6-4420-B4B3-59612A5D3F07}" type="pres">
      <dgm:prSet presAssocID="{124D91FD-1A8A-4966-9DFF-BAEEC792924A}" presName="Name30" presStyleCnt="0"/>
      <dgm:spPr/>
    </dgm:pt>
    <dgm:pt modelId="{7B1C81D0-8B04-4ABB-B89C-60E5731D46EB}" type="pres">
      <dgm:prSet presAssocID="{124D91FD-1A8A-4966-9DFF-BAEEC792924A}" presName="level2Shape" presStyleLbl="node3" presStyleIdx="1" presStyleCnt="3"/>
      <dgm:spPr/>
    </dgm:pt>
    <dgm:pt modelId="{72167A94-CBA2-43FF-9AF0-1C4F56F78865}" type="pres">
      <dgm:prSet presAssocID="{124D91FD-1A8A-4966-9DFF-BAEEC792924A}" presName="hierChild3" presStyleCnt="0"/>
      <dgm:spPr/>
    </dgm:pt>
    <dgm:pt modelId="{3C05DDA7-E700-4991-919E-AC23A0431405}" type="pres">
      <dgm:prSet presAssocID="{71A613ED-05CC-4EE5-B69C-A30E56226F14}" presName="Name25" presStyleLbl="parChTrans1D3" presStyleIdx="2" presStyleCnt="3"/>
      <dgm:spPr/>
    </dgm:pt>
    <dgm:pt modelId="{6973CE6D-A06E-47F6-8484-F9CEAB3FA1C2}" type="pres">
      <dgm:prSet presAssocID="{71A613ED-05CC-4EE5-B69C-A30E56226F14}" presName="connTx" presStyleLbl="parChTrans1D3" presStyleIdx="2" presStyleCnt="3"/>
      <dgm:spPr/>
    </dgm:pt>
    <dgm:pt modelId="{5967E1BE-8C16-4DC5-94D8-534009B49E68}" type="pres">
      <dgm:prSet presAssocID="{4BEF5B4A-6972-4D45-9EF1-831272E04244}" presName="Name30" presStyleCnt="0"/>
      <dgm:spPr/>
    </dgm:pt>
    <dgm:pt modelId="{5576AD32-1ABC-462E-B457-3936F1331410}" type="pres">
      <dgm:prSet presAssocID="{4BEF5B4A-6972-4D45-9EF1-831272E04244}" presName="level2Shape" presStyleLbl="node3" presStyleIdx="2" presStyleCnt="3"/>
      <dgm:spPr/>
    </dgm:pt>
    <dgm:pt modelId="{01CE3AA5-A308-45E9-9367-304BD4C171CA}" type="pres">
      <dgm:prSet presAssocID="{4BEF5B4A-6972-4D45-9EF1-831272E04244}" presName="hierChild3" presStyleCnt="0"/>
      <dgm:spPr/>
    </dgm:pt>
    <dgm:pt modelId="{F95FB090-ABDC-4C99-AF5B-6AE5E99F3317}" type="pres">
      <dgm:prSet presAssocID="{1A016FD6-3CB4-4EFB-9DF1-69A1DA4A0B9D}" presName="bgShapesFlow" presStyleCnt="0"/>
      <dgm:spPr/>
    </dgm:pt>
  </dgm:ptLst>
  <dgm:cxnLst>
    <dgm:cxn modelId="{0A924808-8E95-4580-B074-2C2E541D220D}" type="presOf" srcId="{FBAD555A-3609-436B-9D63-B0AB6B03B973}" destId="{167CF10D-163C-41D8-B6C1-D2E934A78647}" srcOrd="0" destOrd="0" presId="urn:microsoft.com/office/officeart/2005/8/layout/hierarchy5"/>
    <dgm:cxn modelId="{020EE308-2B6B-46FF-B2BE-EDE4E9FF66F3}" type="presOf" srcId="{1A016FD6-3CB4-4EFB-9DF1-69A1DA4A0B9D}" destId="{B3219C6F-D984-4803-A3AF-8E6A6777576D}" srcOrd="0" destOrd="0" presId="urn:microsoft.com/office/officeart/2005/8/layout/hierarchy5"/>
    <dgm:cxn modelId="{D2AE750C-55EA-4841-9DAB-A4A91BB2C10C}" type="presOf" srcId="{AB9F328E-9DF7-49FC-A6F2-2A0C6F98A792}" destId="{A1F108C3-70E6-493B-B5D6-217C9F9FD98D}" srcOrd="0" destOrd="0" presId="urn:microsoft.com/office/officeart/2005/8/layout/hierarchy5"/>
    <dgm:cxn modelId="{B97FD10E-25B8-4DFF-BE71-2E3465B52089}" srcId="{9C5173EA-0171-46E8-94B6-C1E2A1AB986B}" destId="{A3ADA123-2972-4584-891E-9468617CDAB5}" srcOrd="2" destOrd="0" parTransId="{AB9F328E-9DF7-49FC-A6F2-2A0C6F98A792}" sibTransId="{1DAE3584-64AC-48D0-AB80-2B920B3884FC}"/>
    <dgm:cxn modelId="{BB816316-3297-4529-BE2D-46476A766834}" type="presOf" srcId="{FBAD555A-3609-436B-9D63-B0AB6B03B973}" destId="{454139B6-B306-4E7A-8D7C-D923BAC9372B}" srcOrd="1" destOrd="0" presId="urn:microsoft.com/office/officeart/2005/8/layout/hierarchy5"/>
    <dgm:cxn modelId="{C7A7211D-DB72-440E-8B66-876314834535}" srcId="{9C5173EA-0171-46E8-94B6-C1E2A1AB986B}" destId="{5D9A592E-61B6-4FDE-A8EF-969FDD4E9C91}" srcOrd="3" destOrd="0" parTransId="{0D3F7E21-2260-4558-8A54-15C845C401FF}" sibTransId="{7D822493-33DA-4EE0-88EC-163C4AA9642B}"/>
    <dgm:cxn modelId="{01B84123-D2C5-44BE-998A-97A80259CF2F}" type="presOf" srcId="{0D3F7E21-2260-4558-8A54-15C845C401FF}" destId="{7C99AE60-D15A-49D5-9663-E0FDEE18117C}" srcOrd="0" destOrd="0" presId="urn:microsoft.com/office/officeart/2005/8/layout/hierarchy5"/>
    <dgm:cxn modelId="{F92B0525-A355-4600-9B02-B8D860BA73AC}" type="presOf" srcId="{97030FB8-3822-4B83-9D38-C9A8464E2D27}" destId="{534C286B-D641-4B73-A615-DD60184E7B99}" srcOrd="0" destOrd="0" presId="urn:microsoft.com/office/officeart/2005/8/layout/hierarchy5"/>
    <dgm:cxn modelId="{96104D26-62DC-4CC4-9427-0689B671D8B0}" type="presOf" srcId="{71A613ED-05CC-4EE5-B69C-A30E56226F14}" destId="{3C05DDA7-E700-4991-919E-AC23A0431405}" srcOrd="0" destOrd="0" presId="urn:microsoft.com/office/officeart/2005/8/layout/hierarchy5"/>
    <dgm:cxn modelId="{60C3CC2C-F5DB-42FE-8317-FCBD96BCE219}" srcId="{9C5173EA-0171-46E8-94B6-C1E2A1AB986B}" destId="{2F8FE610-7E1C-4E98-A942-41F1573244F6}" srcOrd="0" destOrd="0" parTransId="{B5DE50B1-B0EA-4536-86C6-7AE5DE94B035}" sibTransId="{D41C9BEA-F94D-4D2D-8E48-64583DE7F2DC}"/>
    <dgm:cxn modelId="{2982B330-4E32-4B7B-B1EE-107D775A08FC}" type="presOf" srcId="{4BEF5B4A-6972-4D45-9EF1-831272E04244}" destId="{5576AD32-1ABC-462E-B457-3936F1331410}" srcOrd="0" destOrd="0" presId="urn:microsoft.com/office/officeart/2005/8/layout/hierarchy5"/>
    <dgm:cxn modelId="{B267A038-C598-4646-BAFA-524920AA8BE0}" type="presOf" srcId="{EF6CEF93-A6A3-4633-A2A9-9EA7C32C1D61}" destId="{D38C7516-9B97-43B8-96B8-D7983570AB13}" srcOrd="0" destOrd="0" presId="urn:microsoft.com/office/officeart/2005/8/layout/hierarchy5"/>
    <dgm:cxn modelId="{F8C1315C-CF36-40DC-9DD3-D7AFCDE9BD99}" type="presOf" srcId="{5D9A592E-61B6-4FDE-A8EF-969FDD4E9C91}" destId="{FD897257-5321-48CD-AB05-5004AEE7E492}" srcOrd="0" destOrd="0" presId="urn:microsoft.com/office/officeart/2005/8/layout/hierarchy5"/>
    <dgm:cxn modelId="{54E6EC41-4AA0-43A3-AD9E-2611C4206FE5}" type="presOf" srcId="{2F8FE610-7E1C-4E98-A942-41F1573244F6}" destId="{69D07383-F788-4E83-BCF2-0098AFD82071}" srcOrd="0" destOrd="0" presId="urn:microsoft.com/office/officeart/2005/8/layout/hierarchy5"/>
    <dgm:cxn modelId="{E3D6E463-335D-4B93-9F66-FD266A20A923}" type="presOf" srcId="{97030FB8-3822-4B83-9D38-C9A8464E2D27}" destId="{C637D943-4992-4A99-B695-C8C73ED22222}" srcOrd="1" destOrd="0" presId="urn:microsoft.com/office/officeart/2005/8/layout/hierarchy5"/>
    <dgm:cxn modelId="{C2E58244-491B-4DB0-A5DE-3B17110CB1CC}" type="presOf" srcId="{1FE46A0A-A943-4EA1-B696-37C38B8F4597}" destId="{F4FFA73D-A88D-4FB0-9AEB-E1B4B2C6B2F9}" srcOrd="0" destOrd="0" presId="urn:microsoft.com/office/officeart/2005/8/layout/hierarchy5"/>
    <dgm:cxn modelId="{6D988552-833A-4532-A481-82367B357943}" srcId="{9C5173EA-0171-46E8-94B6-C1E2A1AB986B}" destId="{775AE93F-29FC-43F7-889F-BA52C95FFC8B}" srcOrd="4" destOrd="0" parTransId="{66B8454D-7120-4CE3-A926-28B8C2E16EE5}" sibTransId="{24BABC95-E036-4B54-A188-316062922944}"/>
    <dgm:cxn modelId="{73372B74-B6B5-4D33-BF45-6D651866F883}" type="presOf" srcId="{B5DE50B1-B0EA-4536-86C6-7AE5DE94B035}" destId="{91FEC469-B9E5-426E-9712-67A4760088F0}" srcOrd="1" destOrd="0" presId="urn:microsoft.com/office/officeart/2005/8/layout/hierarchy5"/>
    <dgm:cxn modelId="{D2600675-A26E-4AFB-A190-1B725E194F46}" srcId="{775AE93F-29FC-43F7-889F-BA52C95FFC8B}" destId="{4BEF5B4A-6972-4D45-9EF1-831272E04244}" srcOrd="2" destOrd="0" parTransId="{71A613ED-05CC-4EE5-B69C-A30E56226F14}" sibTransId="{6B140DE9-6F14-4758-859E-A661CE66757D}"/>
    <dgm:cxn modelId="{D305CA76-3EBB-4FAC-9598-24599325CADC}" type="presOf" srcId="{EF6CEF93-A6A3-4633-A2A9-9EA7C32C1D61}" destId="{E218F946-E0F9-4DEA-909B-2B07976AC85C}" srcOrd="1" destOrd="0" presId="urn:microsoft.com/office/officeart/2005/8/layout/hierarchy5"/>
    <dgm:cxn modelId="{B7F20558-3729-4172-B830-B8602813F621}" srcId="{775AE93F-29FC-43F7-889F-BA52C95FFC8B}" destId="{124D91FD-1A8A-4966-9DFF-BAEEC792924A}" srcOrd="1" destOrd="0" parTransId="{97030FB8-3822-4B83-9D38-C9A8464E2D27}" sibTransId="{7ACAD30A-68C3-4320-A20A-34A5CEEE2185}"/>
    <dgm:cxn modelId="{AC045778-B2B0-4D5E-A3F3-6D64667F8ED2}" type="presOf" srcId="{B5DE50B1-B0EA-4536-86C6-7AE5DE94B035}" destId="{142F4F35-61D1-4652-878F-91DE4D190E5F}" srcOrd="0" destOrd="0" presId="urn:microsoft.com/office/officeart/2005/8/layout/hierarchy5"/>
    <dgm:cxn modelId="{24A0B87F-8D13-40A4-A020-6646D11A337E}" type="presOf" srcId="{71A613ED-05CC-4EE5-B69C-A30E56226F14}" destId="{6973CE6D-A06E-47F6-8484-F9CEAB3FA1C2}" srcOrd="1" destOrd="0" presId="urn:microsoft.com/office/officeart/2005/8/layout/hierarchy5"/>
    <dgm:cxn modelId="{44A9228B-AA24-4809-B132-21BE5A26909E}" type="presOf" srcId="{66B8454D-7120-4CE3-A926-28B8C2E16EE5}" destId="{0B0DB810-45BB-4714-A3CB-29E97A781E3B}" srcOrd="1" destOrd="0" presId="urn:microsoft.com/office/officeart/2005/8/layout/hierarchy5"/>
    <dgm:cxn modelId="{785C7092-5141-4C8D-96A6-AD8B2E0E72CE}" type="presOf" srcId="{A3ADA123-2972-4584-891E-9468617CDAB5}" destId="{9B83ED3D-05BE-4D13-94C9-EC7D8B6FC33D}" srcOrd="0" destOrd="0" presId="urn:microsoft.com/office/officeart/2005/8/layout/hierarchy5"/>
    <dgm:cxn modelId="{B4196599-CEBA-475E-BD6E-0E4A3E49A530}" type="presOf" srcId="{0D3F7E21-2260-4558-8A54-15C845C401FF}" destId="{25A9C179-FC4C-4165-B8CE-2A073ADB3AD2}" srcOrd="1" destOrd="0" presId="urn:microsoft.com/office/officeart/2005/8/layout/hierarchy5"/>
    <dgm:cxn modelId="{EB445D9C-E54E-4297-A8F8-120BC1EB2CF0}" type="presOf" srcId="{66B8454D-7120-4CE3-A926-28B8C2E16EE5}" destId="{058B6260-D269-41C4-942B-0FFCA84C2764}" srcOrd="0" destOrd="0" presId="urn:microsoft.com/office/officeart/2005/8/layout/hierarchy5"/>
    <dgm:cxn modelId="{631229B8-70DB-4D77-8633-D195565704AC}" type="presOf" srcId="{775AE93F-29FC-43F7-889F-BA52C95FFC8B}" destId="{5EEFDF36-7A51-43EC-9903-49E46B04FEE8}" srcOrd="0" destOrd="0" presId="urn:microsoft.com/office/officeart/2005/8/layout/hierarchy5"/>
    <dgm:cxn modelId="{B1DAB0C4-C93A-4AFC-9850-B74C80568F94}" type="presOf" srcId="{AB9F328E-9DF7-49FC-A6F2-2A0C6F98A792}" destId="{46854136-6FE7-47C9-8006-AB67C21D79D3}" srcOrd="1" destOrd="0" presId="urn:microsoft.com/office/officeart/2005/8/layout/hierarchy5"/>
    <dgm:cxn modelId="{CC957EC6-A6B2-44A3-9F7F-72C7A7C2305D}" type="presOf" srcId="{124D91FD-1A8A-4966-9DFF-BAEEC792924A}" destId="{7B1C81D0-8B04-4ABB-B89C-60E5731D46EB}" srcOrd="0" destOrd="0" presId="urn:microsoft.com/office/officeart/2005/8/layout/hierarchy5"/>
    <dgm:cxn modelId="{E545B8C6-FACF-45CE-9F34-446E3ED04AA2}" type="presOf" srcId="{BAC7C5CB-0C41-4343-94EB-0F68131CF591}" destId="{A4EBA734-4FE7-4BAD-89EB-FADAB86262BB}" srcOrd="0" destOrd="0" presId="urn:microsoft.com/office/officeart/2005/8/layout/hierarchy5"/>
    <dgm:cxn modelId="{4F2C23CB-41F0-46CB-8B2E-E2211F97E8CF}" srcId="{9C5173EA-0171-46E8-94B6-C1E2A1AB986B}" destId="{BAC7C5CB-0C41-4343-94EB-0F68131CF591}" srcOrd="1" destOrd="0" parTransId="{FBAD555A-3609-436B-9D63-B0AB6B03B973}" sibTransId="{6AF5F4BC-A47C-47BE-A676-C5F5EB7D708F}"/>
    <dgm:cxn modelId="{34823FD4-3AE3-4FC3-96EB-1334C0DE303B}" type="presOf" srcId="{9C5173EA-0171-46E8-94B6-C1E2A1AB986B}" destId="{3047A5E6-0A87-438E-8B10-C883F75AE062}" srcOrd="0" destOrd="0" presId="urn:microsoft.com/office/officeart/2005/8/layout/hierarchy5"/>
    <dgm:cxn modelId="{8D1075DF-AB1D-4E27-9EB3-8C2A79008CD0}" srcId="{775AE93F-29FC-43F7-889F-BA52C95FFC8B}" destId="{1FE46A0A-A943-4EA1-B696-37C38B8F4597}" srcOrd="0" destOrd="0" parTransId="{EF6CEF93-A6A3-4633-A2A9-9EA7C32C1D61}" sibTransId="{A7A1588A-2AE0-430B-946E-E001FBBD428D}"/>
    <dgm:cxn modelId="{78DD4FE1-651D-4E5E-857D-80674B4C1C52}" srcId="{1A016FD6-3CB4-4EFB-9DF1-69A1DA4A0B9D}" destId="{9C5173EA-0171-46E8-94B6-C1E2A1AB986B}" srcOrd="0" destOrd="0" parTransId="{07598AEA-E14A-4658-B2AC-435DCC52E527}" sibTransId="{C5F21CB8-BD51-4095-9A2F-9164944FAA04}"/>
    <dgm:cxn modelId="{E3ABB45E-E219-41C3-888F-C0044DDD96B0}" type="presParOf" srcId="{B3219C6F-D984-4803-A3AF-8E6A6777576D}" destId="{9B5C0A1D-DD33-426C-8565-F27530F14FAC}" srcOrd="0" destOrd="0" presId="urn:microsoft.com/office/officeart/2005/8/layout/hierarchy5"/>
    <dgm:cxn modelId="{6F39207E-F473-4FB8-A2FC-696754B4BDA8}" type="presParOf" srcId="{9B5C0A1D-DD33-426C-8565-F27530F14FAC}" destId="{4BB6E4D4-F190-42EF-99EA-6B5A80DC6375}" srcOrd="0" destOrd="0" presId="urn:microsoft.com/office/officeart/2005/8/layout/hierarchy5"/>
    <dgm:cxn modelId="{8B8F80F5-83FB-40FF-8F8B-DFEB07B3B6BE}" type="presParOf" srcId="{4BB6E4D4-F190-42EF-99EA-6B5A80DC6375}" destId="{98D72E1E-E827-488C-900A-0DEC73383609}" srcOrd="0" destOrd="0" presId="urn:microsoft.com/office/officeart/2005/8/layout/hierarchy5"/>
    <dgm:cxn modelId="{0FA0F1CC-3184-41D2-AB50-C76B812B98D1}" type="presParOf" srcId="{98D72E1E-E827-488C-900A-0DEC73383609}" destId="{3047A5E6-0A87-438E-8B10-C883F75AE062}" srcOrd="0" destOrd="0" presId="urn:microsoft.com/office/officeart/2005/8/layout/hierarchy5"/>
    <dgm:cxn modelId="{B0BAFC75-4165-4820-9295-36C17F75D3BF}" type="presParOf" srcId="{98D72E1E-E827-488C-900A-0DEC73383609}" destId="{C0B69883-AFB7-4839-9FE6-E6F2B9FBA806}" srcOrd="1" destOrd="0" presId="urn:microsoft.com/office/officeart/2005/8/layout/hierarchy5"/>
    <dgm:cxn modelId="{18784D29-AA06-4776-8F5F-AF0686280AFD}" type="presParOf" srcId="{C0B69883-AFB7-4839-9FE6-E6F2B9FBA806}" destId="{142F4F35-61D1-4652-878F-91DE4D190E5F}" srcOrd="0" destOrd="0" presId="urn:microsoft.com/office/officeart/2005/8/layout/hierarchy5"/>
    <dgm:cxn modelId="{6961EA2D-FADD-4E78-8E0A-FDB6E2D046BD}" type="presParOf" srcId="{142F4F35-61D1-4652-878F-91DE4D190E5F}" destId="{91FEC469-B9E5-426E-9712-67A4760088F0}" srcOrd="0" destOrd="0" presId="urn:microsoft.com/office/officeart/2005/8/layout/hierarchy5"/>
    <dgm:cxn modelId="{E11BD5DB-4486-4BB9-A840-C276E3A599DA}" type="presParOf" srcId="{C0B69883-AFB7-4839-9FE6-E6F2B9FBA806}" destId="{E231AFD9-6431-430E-A07C-DE0767D9FF7D}" srcOrd="1" destOrd="0" presId="urn:microsoft.com/office/officeart/2005/8/layout/hierarchy5"/>
    <dgm:cxn modelId="{8C929D58-7ACC-4D7A-93A2-279959E224F9}" type="presParOf" srcId="{E231AFD9-6431-430E-A07C-DE0767D9FF7D}" destId="{69D07383-F788-4E83-BCF2-0098AFD82071}" srcOrd="0" destOrd="0" presId="urn:microsoft.com/office/officeart/2005/8/layout/hierarchy5"/>
    <dgm:cxn modelId="{D5E836A0-01B7-4030-BC6E-5CF7D2AC4A2C}" type="presParOf" srcId="{E231AFD9-6431-430E-A07C-DE0767D9FF7D}" destId="{D8686D20-8863-4A6C-A974-FAC4EC2E0039}" srcOrd="1" destOrd="0" presId="urn:microsoft.com/office/officeart/2005/8/layout/hierarchy5"/>
    <dgm:cxn modelId="{4E74A8D9-C136-4C71-8F0B-752F8A85F3F3}" type="presParOf" srcId="{C0B69883-AFB7-4839-9FE6-E6F2B9FBA806}" destId="{167CF10D-163C-41D8-B6C1-D2E934A78647}" srcOrd="2" destOrd="0" presId="urn:microsoft.com/office/officeart/2005/8/layout/hierarchy5"/>
    <dgm:cxn modelId="{42A69D67-1254-4542-B364-6682FCE6CAD8}" type="presParOf" srcId="{167CF10D-163C-41D8-B6C1-D2E934A78647}" destId="{454139B6-B306-4E7A-8D7C-D923BAC9372B}" srcOrd="0" destOrd="0" presId="urn:microsoft.com/office/officeart/2005/8/layout/hierarchy5"/>
    <dgm:cxn modelId="{F347684B-EE28-42C3-B536-CD74DF41B9A1}" type="presParOf" srcId="{C0B69883-AFB7-4839-9FE6-E6F2B9FBA806}" destId="{87555C54-3D1D-46A0-AF6C-8C48A5E0B9AD}" srcOrd="3" destOrd="0" presId="urn:microsoft.com/office/officeart/2005/8/layout/hierarchy5"/>
    <dgm:cxn modelId="{74EF3C88-8EE6-449A-B03B-906714AAAB6E}" type="presParOf" srcId="{87555C54-3D1D-46A0-AF6C-8C48A5E0B9AD}" destId="{A4EBA734-4FE7-4BAD-89EB-FADAB86262BB}" srcOrd="0" destOrd="0" presId="urn:microsoft.com/office/officeart/2005/8/layout/hierarchy5"/>
    <dgm:cxn modelId="{A068B0E3-52BA-4A09-A9BF-F5F4A0B5CCBA}" type="presParOf" srcId="{87555C54-3D1D-46A0-AF6C-8C48A5E0B9AD}" destId="{3814B7CC-7E7E-48EE-85E8-54E3160616F5}" srcOrd="1" destOrd="0" presId="urn:microsoft.com/office/officeart/2005/8/layout/hierarchy5"/>
    <dgm:cxn modelId="{701B3025-6082-474C-9E06-1533C701E07A}" type="presParOf" srcId="{C0B69883-AFB7-4839-9FE6-E6F2B9FBA806}" destId="{A1F108C3-70E6-493B-B5D6-217C9F9FD98D}" srcOrd="4" destOrd="0" presId="urn:microsoft.com/office/officeart/2005/8/layout/hierarchy5"/>
    <dgm:cxn modelId="{791E020F-D559-4E67-BDF4-042F5292A4C8}" type="presParOf" srcId="{A1F108C3-70E6-493B-B5D6-217C9F9FD98D}" destId="{46854136-6FE7-47C9-8006-AB67C21D79D3}" srcOrd="0" destOrd="0" presId="urn:microsoft.com/office/officeart/2005/8/layout/hierarchy5"/>
    <dgm:cxn modelId="{BE5BC7E3-F10E-4A25-AEAB-653A5BAD6D1F}" type="presParOf" srcId="{C0B69883-AFB7-4839-9FE6-E6F2B9FBA806}" destId="{188ADEC9-9392-4823-8F1E-44F4FF000835}" srcOrd="5" destOrd="0" presId="urn:microsoft.com/office/officeart/2005/8/layout/hierarchy5"/>
    <dgm:cxn modelId="{43FF7102-8188-432D-B521-60D7DD9E09C1}" type="presParOf" srcId="{188ADEC9-9392-4823-8F1E-44F4FF000835}" destId="{9B83ED3D-05BE-4D13-94C9-EC7D8B6FC33D}" srcOrd="0" destOrd="0" presId="urn:microsoft.com/office/officeart/2005/8/layout/hierarchy5"/>
    <dgm:cxn modelId="{A050B5BD-3C84-4A55-A018-496A63FEABFC}" type="presParOf" srcId="{188ADEC9-9392-4823-8F1E-44F4FF000835}" destId="{08F028DC-F95F-4DB9-9A75-284BE8ED312F}" srcOrd="1" destOrd="0" presId="urn:microsoft.com/office/officeart/2005/8/layout/hierarchy5"/>
    <dgm:cxn modelId="{0F2FE6E1-9CE1-4238-942F-2548AF155521}" type="presParOf" srcId="{C0B69883-AFB7-4839-9FE6-E6F2B9FBA806}" destId="{7C99AE60-D15A-49D5-9663-E0FDEE18117C}" srcOrd="6" destOrd="0" presId="urn:microsoft.com/office/officeart/2005/8/layout/hierarchy5"/>
    <dgm:cxn modelId="{22B6F7AD-4A61-4592-95A7-C93279F5F0F5}" type="presParOf" srcId="{7C99AE60-D15A-49D5-9663-E0FDEE18117C}" destId="{25A9C179-FC4C-4165-B8CE-2A073ADB3AD2}" srcOrd="0" destOrd="0" presId="urn:microsoft.com/office/officeart/2005/8/layout/hierarchy5"/>
    <dgm:cxn modelId="{75698D1D-8709-4672-81E0-32F0EF5EA1F2}" type="presParOf" srcId="{C0B69883-AFB7-4839-9FE6-E6F2B9FBA806}" destId="{9DF61904-3AF6-4E7F-A3FD-37FE321A0D7A}" srcOrd="7" destOrd="0" presId="urn:microsoft.com/office/officeart/2005/8/layout/hierarchy5"/>
    <dgm:cxn modelId="{0ADC29D1-C1FE-4067-BB70-537425648DC2}" type="presParOf" srcId="{9DF61904-3AF6-4E7F-A3FD-37FE321A0D7A}" destId="{FD897257-5321-48CD-AB05-5004AEE7E492}" srcOrd="0" destOrd="0" presId="urn:microsoft.com/office/officeart/2005/8/layout/hierarchy5"/>
    <dgm:cxn modelId="{1BF21514-7B50-4D4D-84F0-A4E234A6F57C}" type="presParOf" srcId="{9DF61904-3AF6-4E7F-A3FD-37FE321A0D7A}" destId="{5BC81E9A-16BF-4410-A2DD-8E5719278D48}" srcOrd="1" destOrd="0" presId="urn:microsoft.com/office/officeart/2005/8/layout/hierarchy5"/>
    <dgm:cxn modelId="{52BE66B9-0F68-4BC3-9428-F4D06D5C0FD1}" type="presParOf" srcId="{C0B69883-AFB7-4839-9FE6-E6F2B9FBA806}" destId="{058B6260-D269-41C4-942B-0FFCA84C2764}" srcOrd="8" destOrd="0" presId="urn:microsoft.com/office/officeart/2005/8/layout/hierarchy5"/>
    <dgm:cxn modelId="{943B4F4B-C1B0-4397-901D-E403498C822C}" type="presParOf" srcId="{058B6260-D269-41C4-942B-0FFCA84C2764}" destId="{0B0DB810-45BB-4714-A3CB-29E97A781E3B}" srcOrd="0" destOrd="0" presId="urn:microsoft.com/office/officeart/2005/8/layout/hierarchy5"/>
    <dgm:cxn modelId="{1601E5D1-0AC1-4990-AB12-8259EEE0AD20}" type="presParOf" srcId="{C0B69883-AFB7-4839-9FE6-E6F2B9FBA806}" destId="{E6702DB5-7F7A-4602-A524-0B8FFD4DF0B5}" srcOrd="9" destOrd="0" presId="urn:microsoft.com/office/officeart/2005/8/layout/hierarchy5"/>
    <dgm:cxn modelId="{B7C84245-EDF2-49BA-AC7A-A3B7BDD253A9}" type="presParOf" srcId="{E6702DB5-7F7A-4602-A524-0B8FFD4DF0B5}" destId="{5EEFDF36-7A51-43EC-9903-49E46B04FEE8}" srcOrd="0" destOrd="0" presId="urn:microsoft.com/office/officeart/2005/8/layout/hierarchy5"/>
    <dgm:cxn modelId="{A7D16A43-2996-48E9-AB72-6B87D1C17198}" type="presParOf" srcId="{E6702DB5-7F7A-4602-A524-0B8FFD4DF0B5}" destId="{2203CF5A-C9CC-4A7C-B272-5D23AAB5CB5C}" srcOrd="1" destOrd="0" presId="urn:microsoft.com/office/officeart/2005/8/layout/hierarchy5"/>
    <dgm:cxn modelId="{07FF9273-99B2-4846-8837-CB3662073B08}" type="presParOf" srcId="{2203CF5A-C9CC-4A7C-B272-5D23AAB5CB5C}" destId="{D38C7516-9B97-43B8-96B8-D7983570AB13}" srcOrd="0" destOrd="0" presId="urn:microsoft.com/office/officeart/2005/8/layout/hierarchy5"/>
    <dgm:cxn modelId="{784366A5-9B5F-4593-9E05-C7E27914A6EF}" type="presParOf" srcId="{D38C7516-9B97-43B8-96B8-D7983570AB13}" destId="{E218F946-E0F9-4DEA-909B-2B07976AC85C}" srcOrd="0" destOrd="0" presId="urn:microsoft.com/office/officeart/2005/8/layout/hierarchy5"/>
    <dgm:cxn modelId="{D0890843-5351-4F65-A0CD-3ED6FBE252B5}" type="presParOf" srcId="{2203CF5A-C9CC-4A7C-B272-5D23AAB5CB5C}" destId="{F7AF4089-C3A1-4F91-B146-9FB4DB5BA123}" srcOrd="1" destOrd="0" presId="urn:microsoft.com/office/officeart/2005/8/layout/hierarchy5"/>
    <dgm:cxn modelId="{646472E6-121D-476A-BC94-14EBC7AC83D7}" type="presParOf" srcId="{F7AF4089-C3A1-4F91-B146-9FB4DB5BA123}" destId="{F4FFA73D-A88D-4FB0-9AEB-E1B4B2C6B2F9}" srcOrd="0" destOrd="0" presId="urn:microsoft.com/office/officeart/2005/8/layout/hierarchy5"/>
    <dgm:cxn modelId="{2C80504E-3B24-4A7B-94F9-8C0F23EC1DDE}" type="presParOf" srcId="{F7AF4089-C3A1-4F91-B146-9FB4DB5BA123}" destId="{433BD5DF-4B6A-46B3-8044-970E99E77493}" srcOrd="1" destOrd="0" presId="urn:microsoft.com/office/officeart/2005/8/layout/hierarchy5"/>
    <dgm:cxn modelId="{D56880C7-E333-470E-AA67-49E357F25C29}" type="presParOf" srcId="{2203CF5A-C9CC-4A7C-B272-5D23AAB5CB5C}" destId="{534C286B-D641-4B73-A615-DD60184E7B99}" srcOrd="2" destOrd="0" presId="urn:microsoft.com/office/officeart/2005/8/layout/hierarchy5"/>
    <dgm:cxn modelId="{4BA9F6F6-452E-4EAC-8B73-EDB6AB90671C}" type="presParOf" srcId="{534C286B-D641-4B73-A615-DD60184E7B99}" destId="{C637D943-4992-4A99-B695-C8C73ED22222}" srcOrd="0" destOrd="0" presId="urn:microsoft.com/office/officeart/2005/8/layout/hierarchy5"/>
    <dgm:cxn modelId="{0F69F6AD-E15C-4EEF-9E49-019E09242FFB}" type="presParOf" srcId="{2203CF5A-C9CC-4A7C-B272-5D23AAB5CB5C}" destId="{03A76E49-D6D6-4420-B4B3-59612A5D3F07}" srcOrd="3" destOrd="0" presId="urn:microsoft.com/office/officeart/2005/8/layout/hierarchy5"/>
    <dgm:cxn modelId="{98B973DC-402D-49A3-AF6E-EC008B04721C}" type="presParOf" srcId="{03A76E49-D6D6-4420-B4B3-59612A5D3F07}" destId="{7B1C81D0-8B04-4ABB-B89C-60E5731D46EB}" srcOrd="0" destOrd="0" presId="urn:microsoft.com/office/officeart/2005/8/layout/hierarchy5"/>
    <dgm:cxn modelId="{A4EEFB73-F4A1-483B-921B-087C3F6BF817}" type="presParOf" srcId="{03A76E49-D6D6-4420-B4B3-59612A5D3F07}" destId="{72167A94-CBA2-43FF-9AF0-1C4F56F78865}" srcOrd="1" destOrd="0" presId="urn:microsoft.com/office/officeart/2005/8/layout/hierarchy5"/>
    <dgm:cxn modelId="{9AF3C9E0-ADFB-463B-A6B6-6E15B73708DA}" type="presParOf" srcId="{2203CF5A-C9CC-4A7C-B272-5D23AAB5CB5C}" destId="{3C05DDA7-E700-4991-919E-AC23A0431405}" srcOrd="4" destOrd="0" presId="urn:microsoft.com/office/officeart/2005/8/layout/hierarchy5"/>
    <dgm:cxn modelId="{95300CD7-6956-4209-9FF4-4DEBC571DCEA}" type="presParOf" srcId="{3C05DDA7-E700-4991-919E-AC23A0431405}" destId="{6973CE6D-A06E-47F6-8484-F9CEAB3FA1C2}" srcOrd="0" destOrd="0" presId="urn:microsoft.com/office/officeart/2005/8/layout/hierarchy5"/>
    <dgm:cxn modelId="{070001AA-FDC2-433B-AAA0-2F16CDC8E930}" type="presParOf" srcId="{2203CF5A-C9CC-4A7C-B272-5D23AAB5CB5C}" destId="{5967E1BE-8C16-4DC5-94D8-534009B49E68}" srcOrd="5" destOrd="0" presId="urn:microsoft.com/office/officeart/2005/8/layout/hierarchy5"/>
    <dgm:cxn modelId="{BDD2DDFD-4F18-4CA0-B014-354D7FE94399}" type="presParOf" srcId="{5967E1BE-8C16-4DC5-94D8-534009B49E68}" destId="{5576AD32-1ABC-462E-B457-3936F1331410}" srcOrd="0" destOrd="0" presId="urn:microsoft.com/office/officeart/2005/8/layout/hierarchy5"/>
    <dgm:cxn modelId="{86D97358-824C-4729-9EC7-186DAE41A062}" type="presParOf" srcId="{5967E1BE-8C16-4DC5-94D8-534009B49E68}" destId="{01CE3AA5-A308-45E9-9367-304BD4C171CA}" srcOrd="1" destOrd="0" presId="urn:microsoft.com/office/officeart/2005/8/layout/hierarchy5"/>
    <dgm:cxn modelId="{19FC880B-F6EF-4B6A-91F0-42AD309903BD}" type="presParOf" srcId="{B3219C6F-D984-4803-A3AF-8E6A6777576D}" destId="{F95FB090-ABDC-4C99-AF5B-6AE5E99F3317}" srcOrd="1" destOrd="0" presId="urn:microsoft.com/office/officeart/2005/8/layout/hierarchy5"/>
  </dgm:cxnLst>
  <dgm:bg>
    <a:effectLst>
      <a:outerShdw blurRad="50800" dist="38100" algn="l" rotWithShape="0">
        <a:prstClr val="black">
          <a:alpha val="40000"/>
        </a:prstClr>
      </a:outerShdw>
    </a:effectLst>
  </dgm:bg>
  <dgm:whole/>
  <dgm:extLst>
    <a:ext uri="http://schemas.microsoft.com/office/drawing/2008/diagram">
      <dsp:dataModelExt xmlns:dsp="http://schemas.microsoft.com/office/drawing/2008/diagram" relId="rId19"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C7C4CCEB-603D-401E-94A0-CC0274E10434}" type="doc">
      <dgm:prSet loTypeId="urn:microsoft.com/office/officeart/2005/8/layout/hierarchy5" loCatId="hierarchy" qsTypeId="urn:microsoft.com/office/officeart/2005/8/quickstyle/simple5" qsCatId="simple" csTypeId="urn:microsoft.com/office/officeart/2005/8/colors/colorful1#2" csCatId="colorful" phldr="1"/>
      <dgm:spPr/>
      <dgm:t>
        <a:bodyPr/>
        <a:lstStyle/>
        <a:p>
          <a:endParaRPr lang="lv-LV"/>
        </a:p>
      </dgm:t>
    </dgm:pt>
    <dgm:pt modelId="{7E75EE8D-837D-4E6B-962D-26DAE72633A7}">
      <dgm:prSet phldrT="[Text]"/>
      <dgm:spPr/>
      <dgm:t>
        <a:bodyPr/>
        <a:lstStyle/>
        <a:p>
          <a:r>
            <a:rPr lang="lv-LV"/>
            <a:t>Nozares attīstības vīzija</a:t>
          </a:r>
        </a:p>
      </dgm:t>
    </dgm:pt>
    <dgm:pt modelId="{7BE5D80C-368F-40E7-9C07-D707977B9BED}" type="parTrans" cxnId="{64D326DB-FF76-48C3-9139-01F3428C87C8}">
      <dgm:prSet/>
      <dgm:spPr/>
      <dgm:t>
        <a:bodyPr/>
        <a:lstStyle/>
        <a:p>
          <a:endParaRPr lang="lv-LV"/>
        </a:p>
      </dgm:t>
    </dgm:pt>
    <dgm:pt modelId="{A18DC824-4D20-4FA3-B9C6-6F6661B00658}" type="sibTrans" cxnId="{64D326DB-FF76-48C3-9139-01F3428C87C8}">
      <dgm:prSet/>
      <dgm:spPr/>
      <dgm:t>
        <a:bodyPr/>
        <a:lstStyle/>
        <a:p>
          <a:endParaRPr lang="lv-LV"/>
        </a:p>
      </dgm:t>
    </dgm:pt>
    <dgm:pt modelId="{A3567280-A483-4BCE-88DF-0EB6E9F88779}">
      <dgm:prSet phldrT="[Text]"/>
      <dgm:spPr/>
      <dgm:t>
        <a:bodyPr/>
        <a:lstStyle/>
        <a:p>
          <a:r>
            <a:rPr lang="lv-LV"/>
            <a:t>Nišu speciālistu zeme</a:t>
          </a:r>
        </a:p>
      </dgm:t>
    </dgm:pt>
    <dgm:pt modelId="{3C4DA95C-52F2-4EED-A8AF-10384B8E55CD}" type="parTrans" cxnId="{D6EF08D8-25F4-40EF-875D-C4A375938F02}">
      <dgm:prSet/>
      <dgm:spPr/>
      <dgm:t>
        <a:bodyPr/>
        <a:lstStyle/>
        <a:p>
          <a:endParaRPr lang="lv-LV"/>
        </a:p>
      </dgm:t>
    </dgm:pt>
    <dgm:pt modelId="{22D7E9D7-9BE5-457F-A858-A04C1A97ADF0}" type="sibTrans" cxnId="{D6EF08D8-25F4-40EF-875D-C4A375938F02}">
      <dgm:prSet/>
      <dgm:spPr/>
      <dgm:t>
        <a:bodyPr/>
        <a:lstStyle/>
        <a:p>
          <a:endParaRPr lang="lv-LV"/>
        </a:p>
      </dgm:t>
    </dgm:pt>
    <dgm:pt modelId="{ABB0D749-2EE8-427B-B333-FC979D0D79D2}">
      <dgm:prSet phldrT="[Text]"/>
      <dgm:spPr/>
      <dgm:t>
        <a:bodyPr/>
        <a:lstStyle/>
        <a:p>
          <a:r>
            <a:rPr lang="lv-LV"/>
            <a:t>Inovāciju laboratorija</a:t>
          </a:r>
        </a:p>
      </dgm:t>
    </dgm:pt>
    <dgm:pt modelId="{FAE3720E-50EF-4E34-8619-0AB5947EF3BC}" type="parTrans" cxnId="{D98A2B59-E898-4000-ABAF-073C0B34FFA6}">
      <dgm:prSet/>
      <dgm:spPr/>
      <dgm:t>
        <a:bodyPr/>
        <a:lstStyle/>
        <a:p>
          <a:endParaRPr lang="lv-LV"/>
        </a:p>
      </dgm:t>
    </dgm:pt>
    <dgm:pt modelId="{287018E2-2F38-47EE-A390-7E82022A5548}" type="sibTrans" cxnId="{D98A2B59-E898-4000-ABAF-073C0B34FFA6}">
      <dgm:prSet/>
      <dgm:spPr/>
      <dgm:t>
        <a:bodyPr/>
        <a:lstStyle/>
        <a:p>
          <a:endParaRPr lang="lv-LV"/>
        </a:p>
      </dgm:t>
    </dgm:pt>
    <dgm:pt modelId="{BAF2A038-C049-4585-8C5A-E69D6E26EF96}">
      <dgm:prSet phldrT="[Text]"/>
      <dgm:spPr/>
      <dgm:t>
        <a:bodyPr/>
        <a:lstStyle/>
        <a:p>
          <a:r>
            <a:rPr lang="lv-LV"/>
            <a:t>Industrijas talantu karjeras starta punkts</a:t>
          </a:r>
        </a:p>
      </dgm:t>
    </dgm:pt>
    <dgm:pt modelId="{16C50001-64FD-4B2B-A7B6-C1E16042FF32}" type="parTrans" cxnId="{D4672E91-9119-4191-8C53-F4D6CEB0D1A6}">
      <dgm:prSet/>
      <dgm:spPr/>
      <dgm:t>
        <a:bodyPr/>
        <a:lstStyle/>
        <a:p>
          <a:endParaRPr lang="lv-LV"/>
        </a:p>
      </dgm:t>
    </dgm:pt>
    <dgm:pt modelId="{C24EB9EA-EC46-491B-8D97-A2D79C9E0F45}" type="sibTrans" cxnId="{D4672E91-9119-4191-8C53-F4D6CEB0D1A6}">
      <dgm:prSet/>
      <dgm:spPr/>
      <dgm:t>
        <a:bodyPr/>
        <a:lstStyle/>
        <a:p>
          <a:endParaRPr lang="lv-LV"/>
        </a:p>
      </dgm:t>
    </dgm:pt>
    <dgm:pt modelId="{2090FA7E-0FA3-46B0-BE67-559FC937F3DE}" type="pres">
      <dgm:prSet presAssocID="{C7C4CCEB-603D-401E-94A0-CC0274E10434}" presName="mainComposite" presStyleCnt="0">
        <dgm:presLayoutVars>
          <dgm:chPref val="1"/>
          <dgm:dir/>
          <dgm:animOne val="branch"/>
          <dgm:animLvl val="lvl"/>
          <dgm:resizeHandles val="exact"/>
        </dgm:presLayoutVars>
      </dgm:prSet>
      <dgm:spPr/>
    </dgm:pt>
    <dgm:pt modelId="{26730273-65C3-4A2E-83D6-95A53F4BE06D}" type="pres">
      <dgm:prSet presAssocID="{C7C4CCEB-603D-401E-94A0-CC0274E10434}" presName="hierFlow" presStyleCnt="0"/>
      <dgm:spPr/>
    </dgm:pt>
    <dgm:pt modelId="{36AC136A-85B2-4D7B-B21D-26E78DAFA7BE}" type="pres">
      <dgm:prSet presAssocID="{C7C4CCEB-603D-401E-94A0-CC0274E10434}" presName="hierChild1" presStyleCnt="0">
        <dgm:presLayoutVars>
          <dgm:chPref val="1"/>
          <dgm:animOne val="branch"/>
          <dgm:animLvl val="lvl"/>
        </dgm:presLayoutVars>
      </dgm:prSet>
      <dgm:spPr/>
    </dgm:pt>
    <dgm:pt modelId="{9179E81B-F1DB-469B-B165-5B13D6BFE391}" type="pres">
      <dgm:prSet presAssocID="{7E75EE8D-837D-4E6B-962D-26DAE72633A7}" presName="Name17" presStyleCnt="0"/>
      <dgm:spPr/>
    </dgm:pt>
    <dgm:pt modelId="{791C016E-D6E9-4BCB-8193-84D7F803D768}" type="pres">
      <dgm:prSet presAssocID="{7E75EE8D-837D-4E6B-962D-26DAE72633A7}" presName="level1Shape" presStyleLbl="node0" presStyleIdx="0" presStyleCnt="1">
        <dgm:presLayoutVars>
          <dgm:chPref val="3"/>
        </dgm:presLayoutVars>
      </dgm:prSet>
      <dgm:spPr/>
    </dgm:pt>
    <dgm:pt modelId="{679E9252-8A61-4221-B739-171267FB4FD5}" type="pres">
      <dgm:prSet presAssocID="{7E75EE8D-837D-4E6B-962D-26DAE72633A7}" presName="hierChild2" presStyleCnt="0"/>
      <dgm:spPr/>
    </dgm:pt>
    <dgm:pt modelId="{8197A3ED-1B82-44F4-803F-E30ED5FB9582}" type="pres">
      <dgm:prSet presAssocID="{3C4DA95C-52F2-4EED-A8AF-10384B8E55CD}" presName="Name25" presStyleLbl="parChTrans1D2" presStyleIdx="0" presStyleCnt="3"/>
      <dgm:spPr/>
    </dgm:pt>
    <dgm:pt modelId="{B2FBA1DF-E74A-4BA3-87FE-ABAC6E16CF02}" type="pres">
      <dgm:prSet presAssocID="{3C4DA95C-52F2-4EED-A8AF-10384B8E55CD}" presName="connTx" presStyleLbl="parChTrans1D2" presStyleIdx="0" presStyleCnt="3"/>
      <dgm:spPr/>
    </dgm:pt>
    <dgm:pt modelId="{DE32817D-01BB-4A0D-B951-F33748A3D7D8}" type="pres">
      <dgm:prSet presAssocID="{A3567280-A483-4BCE-88DF-0EB6E9F88779}" presName="Name30" presStyleCnt="0"/>
      <dgm:spPr/>
    </dgm:pt>
    <dgm:pt modelId="{D7F02F58-248B-4AC8-BECF-C595D3205C4B}" type="pres">
      <dgm:prSet presAssocID="{A3567280-A483-4BCE-88DF-0EB6E9F88779}" presName="level2Shape" presStyleLbl="node2" presStyleIdx="0" presStyleCnt="3"/>
      <dgm:spPr/>
    </dgm:pt>
    <dgm:pt modelId="{D51FAD29-E86F-47E6-874C-812311163E10}" type="pres">
      <dgm:prSet presAssocID="{A3567280-A483-4BCE-88DF-0EB6E9F88779}" presName="hierChild3" presStyleCnt="0"/>
      <dgm:spPr/>
    </dgm:pt>
    <dgm:pt modelId="{658C74AD-D597-4F14-8F4F-85B7F273CF69}" type="pres">
      <dgm:prSet presAssocID="{FAE3720E-50EF-4E34-8619-0AB5947EF3BC}" presName="Name25" presStyleLbl="parChTrans1D2" presStyleIdx="1" presStyleCnt="3"/>
      <dgm:spPr/>
    </dgm:pt>
    <dgm:pt modelId="{AEDEC2FD-6FD0-446E-A31B-59C9658F9A72}" type="pres">
      <dgm:prSet presAssocID="{FAE3720E-50EF-4E34-8619-0AB5947EF3BC}" presName="connTx" presStyleLbl="parChTrans1D2" presStyleIdx="1" presStyleCnt="3"/>
      <dgm:spPr/>
    </dgm:pt>
    <dgm:pt modelId="{8C98CB90-2528-4A6D-942C-57FA038E9149}" type="pres">
      <dgm:prSet presAssocID="{ABB0D749-2EE8-427B-B333-FC979D0D79D2}" presName="Name30" presStyleCnt="0"/>
      <dgm:spPr/>
    </dgm:pt>
    <dgm:pt modelId="{DF0DE7C3-FD5B-4C43-9730-A57086A5A671}" type="pres">
      <dgm:prSet presAssocID="{ABB0D749-2EE8-427B-B333-FC979D0D79D2}" presName="level2Shape" presStyleLbl="node2" presStyleIdx="1" presStyleCnt="3"/>
      <dgm:spPr/>
    </dgm:pt>
    <dgm:pt modelId="{BD1B8802-ED3B-4ADF-96DF-46BE0A66308F}" type="pres">
      <dgm:prSet presAssocID="{ABB0D749-2EE8-427B-B333-FC979D0D79D2}" presName="hierChild3" presStyleCnt="0"/>
      <dgm:spPr/>
    </dgm:pt>
    <dgm:pt modelId="{1C12CD4C-CEE4-41A1-B1F5-777A2CF7D87A}" type="pres">
      <dgm:prSet presAssocID="{16C50001-64FD-4B2B-A7B6-C1E16042FF32}" presName="Name25" presStyleLbl="parChTrans1D2" presStyleIdx="2" presStyleCnt="3"/>
      <dgm:spPr/>
    </dgm:pt>
    <dgm:pt modelId="{A558B2F0-DD49-46D4-A608-80F4AF55EEB3}" type="pres">
      <dgm:prSet presAssocID="{16C50001-64FD-4B2B-A7B6-C1E16042FF32}" presName="connTx" presStyleLbl="parChTrans1D2" presStyleIdx="2" presStyleCnt="3"/>
      <dgm:spPr/>
    </dgm:pt>
    <dgm:pt modelId="{4EA92B05-3480-4A1F-8ED5-66D15ABCAD9E}" type="pres">
      <dgm:prSet presAssocID="{BAF2A038-C049-4585-8C5A-E69D6E26EF96}" presName="Name30" presStyleCnt="0"/>
      <dgm:spPr/>
    </dgm:pt>
    <dgm:pt modelId="{357F59B5-E91E-4E40-9811-0748CCB149DE}" type="pres">
      <dgm:prSet presAssocID="{BAF2A038-C049-4585-8C5A-E69D6E26EF96}" presName="level2Shape" presStyleLbl="node2" presStyleIdx="2" presStyleCnt="3"/>
      <dgm:spPr/>
    </dgm:pt>
    <dgm:pt modelId="{FD0BD7D1-F53A-4EE8-9187-B97C75AEE45E}" type="pres">
      <dgm:prSet presAssocID="{BAF2A038-C049-4585-8C5A-E69D6E26EF96}" presName="hierChild3" presStyleCnt="0"/>
      <dgm:spPr/>
    </dgm:pt>
    <dgm:pt modelId="{E5410BD4-11A0-4DB8-8E09-163D2D1CEEB7}" type="pres">
      <dgm:prSet presAssocID="{C7C4CCEB-603D-401E-94A0-CC0274E10434}" presName="bgShapesFlow" presStyleCnt="0"/>
      <dgm:spPr/>
    </dgm:pt>
  </dgm:ptLst>
  <dgm:cxnLst>
    <dgm:cxn modelId="{E9C27A0F-0DE3-4D4F-BA13-DFF86FCEEB3B}" type="presOf" srcId="{BAF2A038-C049-4585-8C5A-E69D6E26EF96}" destId="{357F59B5-E91E-4E40-9811-0748CCB149DE}" srcOrd="0" destOrd="0" presId="urn:microsoft.com/office/officeart/2005/8/layout/hierarchy5"/>
    <dgm:cxn modelId="{F0ABB710-8FC2-4DE6-97A4-326B11CD5402}" type="presOf" srcId="{3C4DA95C-52F2-4EED-A8AF-10384B8E55CD}" destId="{8197A3ED-1B82-44F4-803F-E30ED5FB9582}" srcOrd="0" destOrd="0" presId="urn:microsoft.com/office/officeart/2005/8/layout/hierarchy5"/>
    <dgm:cxn modelId="{29418B13-532E-44FB-A9F5-2BB99DA8B457}" type="presOf" srcId="{C7C4CCEB-603D-401E-94A0-CC0274E10434}" destId="{2090FA7E-0FA3-46B0-BE67-559FC937F3DE}" srcOrd="0" destOrd="0" presId="urn:microsoft.com/office/officeart/2005/8/layout/hierarchy5"/>
    <dgm:cxn modelId="{09964351-6CA3-4C8F-B37E-6B9B87FD316D}" type="presOf" srcId="{16C50001-64FD-4B2B-A7B6-C1E16042FF32}" destId="{A558B2F0-DD49-46D4-A608-80F4AF55EEB3}" srcOrd="1" destOrd="0" presId="urn:microsoft.com/office/officeart/2005/8/layout/hierarchy5"/>
    <dgm:cxn modelId="{50686576-1AA0-403C-8DB6-22078605C8B0}" type="presOf" srcId="{FAE3720E-50EF-4E34-8619-0AB5947EF3BC}" destId="{AEDEC2FD-6FD0-446E-A31B-59C9658F9A72}" srcOrd="1" destOrd="0" presId="urn:microsoft.com/office/officeart/2005/8/layout/hierarchy5"/>
    <dgm:cxn modelId="{D98A2B59-E898-4000-ABAF-073C0B34FFA6}" srcId="{7E75EE8D-837D-4E6B-962D-26DAE72633A7}" destId="{ABB0D749-2EE8-427B-B333-FC979D0D79D2}" srcOrd="1" destOrd="0" parTransId="{FAE3720E-50EF-4E34-8619-0AB5947EF3BC}" sibTransId="{287018E2-2F38-47EE-A390-7E82022A5548}"/>
    <dgm:cxn modelId="{CEFE2281-F536-4291-9766-8DCD34BC9A01}" type="presOf" srcId="{3C4DA95C-52F2-4EED-A8AF-10384B8E55CD}" destId="{B2FBA1DF-E74A-4BA3-87FE-ABAC6E16CF02}" srcOrd="1" destOrd="0" presId="urn:microsoft.com/office/officeart/2005/8/layout/hierarchy5"/>
    <dgm:cxn modelId="{D4672E91-9119-4191-8C53-F4D6CEB0D1A6}" srcId="{7E75EE8D-837D-4E6B-962D-26DAE72633A7}" destId="{BAF2A038-C049-4585-8C5A-E69D6E26EF96}" srcOrd="2" destOrd="0" parTransId="{16C50001-64FD-4B2B-A7B6-C1E16042FF32}" sibTransId="{C24EB9EA-EC46-491B-8D97-A2D79C9E0F45}"/>
    <dgm:cxn modelId="{964266AD-1861-403E-AFB8-013F2A74CCB8}" type="presOf" srcId="{7E75EE8D-837D-4E6B-962D-26DAE72633A7}" destId="{791C016E-D6E9-4BCB-8193-84D7F803D768}" srcOrd="0" destOrd="0" presId="urn:microsoft.com/office/officeart/2005/8/layout/hierarchy5"/>
    <dgm:cxn modelId="{007A71B1-EB1E-4F38-9FA4-7A606EF986E5}" type="presOf" srcId="{ABB0D749-2EE8-427B-B333-FC979D0D79D2}" destId="{DF0DE7C3-FD5B-4C43-9730-A57086A5A671}" srcOrd="0" destOrd="0" presId="urn:microsoft.com/office/officeart/2005/8/layout/hierarchy5"/>
    <dgm:cxn modelId="{1496B5D2-F199-4F7C-96FA-B3D6CDB5345E}" type="presOf" srcId="{A3567280-A483-4BCE-88DF-0EB6E9F88779}" destId="{D7F02F58-248B-4AC8-BECF-C595D3205C4B}" srcOrd="0" destOrd="0" presId="urn:microsoft.com/office/officeart/2005/8/layout/hierarchy5"/>
    <dgm:cxn modelId="{D6EF08D8-25F4-40EF-875D-C4A375938F02}" srcId="{7E75EE8D-837D-4E6B-962D-26DAE72633A7}" destId="{A3567280-A483-4BCE-88DF-0EB6E9F88779}" srcOrd="0" destOrd="0" parTransId="{3C4DA95C-52F2-4EED-A8AF-10384B8E55CD}" sibTransId="{22D7E9D7-9BE5-457F-A858-A04C1A97ADF0}"/>
    <dgm:cxn modelId="{64D326DB-FF76-48C3-9139-01F3428C87C8}" srcId="{C7C4CCEB-603D-401E-94A0-CC0274E10434}" destId="{7E75EE8D-837D-4E6B-962D-26DAE72633A7}" srcOrd="0" destOrd="0" parTransId="{7BE5D80C-368F-40E7-9C07-D707977B9BED}" sibTransId="{A18DC824-4D20-4FA3-B9C6-6F6661B00658}"/>
    <dgm:cxn modelId="{EF08BBDF-5C06-453A-8308-D3884DA11457}" type="presOf" srcId="{FAE3720E-50EF-4E34-8619-0AB5947EF3BC}" destId="{658C74AD-D597-4F14-8F4F-85B7F273CF69}" srcOrd="0" destOrd="0" presId="urn:microsoft.com/office/officeart/2005/8/layout/hierarchy5"/>
    <dgm:cxn modelId="{A0D6A3FD-DC5D-4EDC-9F36-86EB03EB9EFE}" type="presOf" srcId="{16C50001-64FD-4B2B-A7B6-C1E16042FF32}" destId="{1C12CD4C-CEE4-41A1-B1F5-777A2CF7D87A}" srcOrd="0" destOrd="0" presId="urn:microsoft.com/office/officeart/2005/8/layout/hierarchy5"/>
    <dgm:cxn modelId="{A2776159-962C-4690-B720-10E01BCD5C08}" type="presParOf" srcId="{2090FA7E-0FA3-46B0-BE67-559FC937F3DE}" destId="{26730273-65C3-4A2E-83D6-95A53F4BE06D}" srcOrd="0" destOrd="0" presId="urn:microsoft.com/office/officeart/2005/8/layout/hierarchy5"/>
    <dgm:cxn modelId="{649BA9C6-C557-4A02-BD53-6FDF19717868}" type="presParOf" srcId="{26730273-65C3-4A2E-83D6-95A53F4BE06D}" destId="{36AC136A-85B2-4D7B-B21D-26E78DAFA7BE}" srcOrd="0" destOrd="0" presId="urn:microsoft.com/office/officeart/2005/8/layout/hierarchy5"/>
    <dgm:cxn modelId="{8327454E-0E18-43E0-BFAA-5F88ECD7233C}" type="presParOf" srcId="{36AC136A-85B2-4D7B-B21D-26E78DAFA7BE}" destId="{9179E81B-F1DB-469B-B165-5B13D6BFE391}" srcOrd="0" destOrd="0" presId="urn:microsoft.com/office/officeart/2005/8/layout/hierarchy5"/>
    <dgm:cxn modelId="{ACF5BEAF-A0AD-47B8-A4ED-0F1773213E0C}" type="presParOf" srcId="{9179E81B-F1DB-469B-B165-5B13D6BFE391}" destId="{791C016E-D6E9-4BCB-8193-84D7F803D768}" srcOrd="0" destOrd="0" presId="urn:microsoft.com/office/officeart/2005/8/layout/hierarchy5"/>
    <dgm:cxn modelId="{9593DDF8-1C3A-43B7-9867-24B77203D403}" type="presParOf" srcId="{9179E81B-F1DB-469B-B165-5B13D6BFE391}" destId="{679E9252-8A61-4221-B739-171267FB4FD5}" srcOrd="1" destOrd="0" presId="urn:microsoft.com/office/officeart/2005/8/layout/hierarchy5"/>
    <dgm:cxn modelId="{C138171F-6D4E-4B98-AFC0-3A35A9BBC325}" type="presParOf" srcId="{679E9252-8A61-4221-B739-171267FB4FD5}" destId="{8197A3ED-1B82-44F4-803F-E30ED5FB9582}" srcOrd="0" destOrd="0" presId="urn:microsoft.com/office/officeart/2005/8/layout/hierarchy5"/>
    <dgm:cxn modelId="{8FA33483-5964-48D3-A624-E65D49206C0B}" type="presParOf" srcId="{8197A3ED-1B82-44F4-803F-E30ED5FB9582}" destId="{B2FBA1DF-E74A-4BA3-87FE-ABAC6E16CF02}" srcOrd="0" destOrd="0" presId="urn:microsoft.com/office/officeart/2005/8/layout/hierarchy5"/>
    <dgm:cxn modelId="{35ADC3B5-ECCD-47C6-B093-06DD39878F8B}" type="presParOf" srcId="{679E9252-8A61-4221-B739-171267FB4FD5}" destId="{DE32817D-01BB-4A0D-B951-F33748A3D7D8}" srcOrd="1" destOrd="0" presId="urn:microsoft.com/office/officeart/2005/8/layout/hierarchy5"/>
    <dgm:cxn modelId="{E3AF11F7-DC3B-49B9-81B9-577E5B254A76}" type="presParOf" srcId="{DE32817D-01BB-4A0D-B951-F33748A3D7D8}" destId="{D7F02F58-248B-4AC8-BECF-C595D3205C4B}" srcOrd="0" destOrd="0" presId="urn:microsoft.com/office/officeart/2005/8/layout/hierarchy5"/>
    <dgm:cxn modelId="{A93DB245-4DB4-48C0-9546-2B399858F355}" type="presParOf" srcId="{DE32817D-01BB-4A0D-B951-F33748A3D7D8}" destId="{D51FAD29-E86F-47E6-874C-812311163E10}" srcOrd="1" destOrd="0" presId="urn:microsoft.com/office/officeart/2005/8/layout/hierarchy5"/>
    <dgm:cxn modelId="{D0C4FE32-A668-4583-847D-ECE1FF6AC2D4}" type="presParOf" srcId="{679E9252-8A61-4221-B739-171267FB4FD5}" destId="{658C74AD-D597-4F14-8F4F-85B7F273CF69}" srcOrd="2" destOrd="0" presId="urn:microsoft.com/office/officeart/2005/8/layout/hierarchy5"/>
    <dgm:cxn modelId="{557DE9EB-6E8E-40D8-90EB-817E0A8126DF}" type="presParOf" srcId="{658C74AD-D597-4F14-8F4F-85B7F273CF69}" destId="{AEDEC2FD-6FD0-446E-A31B-59C9658F9A72}" srcOrd="0" destOrd="0" presId="urn:microsoft.com/office/officeart/2005/8/layout/hierarchy5"/>
    <dgm:cxn modelId="{ECDD78BF-7534-42F6-ADCC-D76A298F4899}" type="presParOf" srcId="{679E9252-8A61-4221-B739-171267FB4FD5}" destId="{8C98CB90-2528-4A6D-942C-57FA038E9149}" srcOrd="3" destOrd="0" presId="urn:microsoft.com/office/officeart/2005/8/layout/hierarchy5"/>
    <dgm:cxn modelId="{9B5C8785-94BB-4C01-B4A3-87DAA60654DD}" type="presParOf" srcId="{8C98CB90-2528-4A6D-942C-57FA038E9149}" destId="{DF0DE7C3-FD5B-4C43-9730-A57086A5A671}" srcOrd="0" destOrd="0" presId="urn:microsoft.com/office/officeart/2005/8/layout/hierarchy5"/>
    <dgm:cxn modelId="{A50C4961-C86A-4B32-8757-EFB59EEB918F}" type="presParOf" srcId="{8C98CB90-2528-4A6D-942C-57FA038E9149}" destId="{BD1B8802-ED3B-4ADF-96DF-46BE0A66308F}" srcOrd="1" destOrd="0" presId="urn:microsoft.com/office/officeart/2005/8/layout/hierarchy5"/>
    <dgm:cxn modelId="{D56E89F8-15C2-4AEA-BBF0-80F01FD6A6F9}" type="presParOf" srcId="{679E9252-8A61-4221-B739-171267FB4FD5}" destId="{1C12CD4C-CEE4-41A1-B1F5-777A2CF7D87A}" srcOrd="4" destOrd="0" presId="urn:microsoft.com/office/officeart/2005/8/layout/hierarchy5"/>
    <dgm:cxn modelId="{74D80F10-3AE4-4F3A-B747-FFD025500771}" type="presParOf" srcId="{1C12CD4C-CEE4-41A1-B1F5-777A2CF7D87A}" destId="{A558B2F0-DD49-46D4-A608-80F4AF55EEB3}" srcOrd="0" destOrd="0" presId="urn:microsoft.com/office/officeart/2005/8/layout/hierarchy5"/>
    <dgm:cxn modelId="{F6FB7656-4E10-44FA-A172-3D5AAFC56C7E}" type="presParOf" srcId="{679E9252-8A61-4221-B739-171267FB4FD5}" destId="{4EA92B05-3480-4A1F-8ED5-66D15ABCAD9E}" srcOrd="5" destOrd="0" presId="urn:microsoft.com/office/officeart/2005/8/layout/hierarchy5"/>
    <dgm:cxn modelId="{F19045DE-EF47-42C0-95B7-8C2C8F893BC6}" type="presParOf" srcId="{4EA92B05-3480-4A1F-8ED5-66D15ABCAD9E}" destId="{357F59B5-E91E-4E40-9811-0748CCB149DE}" srcOrd="0" destOrd="0" presId="urn:microsoft.com/office/officeart/2005/8/layout/hierarchy5"/>
    <dgm:cxn modelId="{92BD87F9-8AD1-4D9E-95D5-79878ECB60BC}" type="presParOf" srcId="{4EA92B05-3480-4A1F-8ED5-66D15ABCAD9E}" destId="{FD0BD7D1-F53A-4EE8-9187-B97C75AEE45E}" srcOrd="1" destOrd="0" presId="urn:microsoft.com/office/officeart/2005/8/layout/hierarchy5"/>
    <dgm:cxn modelId="{86907B7F-651E-4734-AD2C-17CFBAEFD0E4}" type="presParOf" srcId="{2090FA7E-0FA3-46B0-BE67-559FC937F3DE}" destId="{E5410BD4-11A0-4DB8-8E09-163D2D1CEEB7}" srcOrd="1" destOrd="0" presId="urn:microsoft.com/office/officeart/2005/8/layout/hierarchy5"/>
  </dgm:cxnLst>
  <dgm:bg/>
  <dgm:whole/>
  <dgm:extLst>
    <a:ext uri="http://schemas.microsoft.com/office/drawing/2008/diagram">
      <dsp:dataModelExt xmlns:dsp="http://schemas.microsoft.com/office/drawing/2008/diagram" relId="rId24"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27270A69-DD1B-42C0-82C7-86BDBEA8F8DC}" type="doc">
      <dgm:prSet loTypeId="urn:microsoft.com/office/officeart/2005/8/layout/pyramid1" loCatId="pyramid" qsTypeId="urn:microsoft.com/office/officeart/2005/8/quickstyle/simple1" qsCatId="simple" csTypeId="urn:microsoft.com/office/officeart/2005/8/colors/colorful1" csCatId="colorful" phldr="1"/>
      <dgm:spPr/>
    </dgm:pt>
    <dgm:pt modelId="{C15011AD-F602-4C28-BEA2-BF9A5E9B39AF}">
      <dgm:prSet phldrT="[Text]" custT="1"/>
      <dgm:spPr/>
      <dgm:t>
        <a:bodyPr/>
        <a:lstStyle/>
        <a:p>
          <a:r>
            <a:rPr lang="lv-LV" sz="1100"/>
            <a:t>Pamatotas ambīcijas atbalstoša projektu atlase</a:t>
          </a:r>
          <a:endParaRPr lang="en-US" sz="1100"/>
        </a:p>
      </dgm:t>
    </dgm:pt>
    <dgm:pt modelId="{DE15B5D7-88DF-4773-AEEB-F2C97216AA7F}" type="parTrans" cxnId="{ADCA1F50-1BED-4A20-9EDA-67CA3AC10148}">
      <dgm:prSet/>
      <dgm:spPr/>
      <dgm:t>
        <a:bodyPr/>
        <a:lstStyle/>
        <a:p>
          <a:endParaRPr lang="en-US" sz="1050"/>
        </a:p>
      </dgm:t>
    </dgm:pt>
    <dgm:pt modelId="{82708ACF-7ADA-44B1-B1F0-82F5847CBCF5}" type="sibTrans" cxnId="{ADCA1F50-1BED-4A20-9EDA-67CA3AC10148}">
      <dgm:prSet/>
      <dgm:spPr/>
      <dgm:t>
        <a:bodyPr/>
        <a:lstStyle/>
        <a:p>
          <a:endParaRPr lang="en-US" sz="1050"/>
        </a:p>
      </dgm:t>
    </dgm:pt>
    <dgm:pt modelId="{A718F0D6-C88A-496E-BDE9-57FC6B85DE6B}">
      <dgm:prSet phldrT="[Text]" custT="1"/>
      <dgm:spPr/>
      <dgm:t>
        <a:bodyPr/>
        <a:lstStyle/>
        <a:p>
          <a:r>
            <a:rPr lang="lv-LV" sz="1100"/>
            <a:t>Nenoteiktības ietekmi kontrolējoša risku vadība</a:t>
          </a:r>
          <a:endParaRPr lang="en-US" sz="1100"/>
        </a:p>
      </dgm:t>
    </dgm:pt>
    <dgm:pt modelId="{E67D50F0-D767-4911-ACF3-05E587DD3BF9}" type="parTrans" cxnId="{003AF3D5-F62F-4D4E-AF55-66BC61B69D7F}">
      <dgm:prSet/>
      <dgm:spPr/>
      <dgm:t>
        <a:bodyPr/>
        <a:lstStyle/>
        <a:p>
          <a:endParaRPr lang="en-US" sz="1050"/>
        </a:p>
      </dgm:t>
    </dgm:pt>
    <dgm:pt modelId="{A2C2A7FA-AFC3-4D4F-B111-568F2AFF372E}" type="sibTrans" cxnId="{003AF3D5-F62F-4D4E-AF55-66BC61B69D7F}">
      <dgm:prSet/>
      <dgm:spPr/>
      <dgm:t>
        <a:bodyPr/>
        <a:lstStyle/>
        <a:p>
          <a:endParaRPr lang="en-US" sz="1050"/>
        </a:p>
      </dgm:t>
    </dgm:pt>
    <dgm:pt modelId="{4B9014D8-A17A-4944-9625-D7D4D07DA680}">
      <dgm:prSet phldrT="[Text]" custT="1"/>
      <dgm:spPr/>
      <dgm:t>
        <a:bodyPr/>
        <a:lstStyle/>
        <a:p>
          <a:r>
            <a:rPr lang="lv-LV" sz="1100"/>
            <a:t>Inovācijas atbalstoša projektu izpildes uzraudzība</a:t>
          </a:r>
          <a:endParaRPr lang="en-US" sz="1100"/>
        </a:p>
      </dgm:t>
    </dgm:pt>
    <dgm:pt modelId="{75395CA0-CE42-47DB-96FB-97F1703DC0DD}" type="parTrans" cxnId="{2E5C195C-4823-4527-9CB5-B0023B8F2505}">
      <dgm:prSet/>
      <dgm:spPr/>
      <dgm:t>
        <a:bodyPr/>
        <a:lstStyle/>
        <a:p>
          <a:endParaRPr lang="en-US" sz="1050"/>
        </a:p>
      </dgm:t>
    </dgm:pt>
    <dgm:pt modelId="{85B35EA1-F33B-4C72-9D4D-89BCCB625955}" type="sibTrans" cxnId="{2E5C195C-4823-4527-9CB5-B0023B8F2505}">
      <dgm:prSet/>
      <dgm:spPr/>
      <dgm:t>
        <a:bodyPr/>
        <a:lstStyle/>
        <a:p>
          <a:endParaRPr lang="en-US" sz="1050"/>
        </a:p>
      </dgm:t>
    </dgm:pt>
    <dgm:pt modelId="{97F79803-B762-40CA-90DC-6F2E69D9DD1A}">
      <dgm:prSet phldrT="[Text]" custT="1"/>
      <dgm:spPr/>
      <dgm:t>
        <a:bodyPr/>
        <a:lstStyle/>
        <a:p>
          <a:r>
            <a:rPr lang="lv-LV" sz="1100"/>
            <a:t>Inovāciju konsultācijas un birokrātiju mazinošas IT sistēmas</a:t>
          </a:r>
          <a:endParaRPr lang="en-US" sz="1100"/>
        </a:p>
      </dgm:t>
    </dgm:pt>
    <dgm:pt modelId="{645711D8-4DB9-4BEA-9F6C-35599BC4C099}" type="parTrans" cxnId="{ABA1F413-C430-45FC-A484-429FBDE8E454}">
      <dgm:prSet/>
      <dgm:spPr/>
      <dgm:t>
        <a:bodyPr/>
        <a:lstStyle/>
        <a:p>
          <a:endParaRPr lang="en-US" sz="1050"/>
        </a:p>
      </dgm:t>
    </dgm:pt>
    <dgm:pt modelId="{C01B6D1D-8E1D-495F-B8A2-775FD20BD977}" type="sibTrans" cxnId="{ABA1F413-C430-45FC-A484-429FBDE8E454}">
      <dgm:prSet/>
      <dgm:spPr/>
      <dgm:t>
        <a:bodyPr/>
        <a:lstStyle/>
        <a:p>
          <a:endParaRPr lang="en-US" sz="1050"/>
        </a:p>
      </dgm:t>
    </dgm:pt>
    <dgm:pt modelId="{F7EBC5A3-A358-4FD9-B0BA-D741557B7649}">
      <dgm:prSet phldrT="[Text]" custT="1"/>
      <dgm:spPr/>
      <dgm:t>
        <a:bodyPr/>
        <a:lstStyle/>
        <a:p>
          <a:r>
            <a:rPr lang="lv-LV" sz="1100"/>
            <a:t>Tīklošanās</a:t>
          </a:r>
          <a:endParaRPr lang="en-US" sz="1100"/>
        </a:p>
      </dgm:t>
    </dgm:pt>
    <dgm:pt modelId="{2328880E-FA76-4E7B-8293-18B74DD15863}" type="parTrans" cxnId="{55D4CB6C-8FCB-4DE6-B419-2DDAB3C8D161}">
      <dgm:prSet/>
      <dgm:spPr/>
      <dgm:t>
        <a:bodyPr/>
        <a:lstStyle/>
        <a:p>
          <a:endParaRPr lang="en-US" sz="1050"/>
        </a:p>
      </dgm:t>
    </dgm:pt>
    <dgm:pt modelId="{F2BF574B-3087-4F1F-A85C-ECF3FA2A5BD5}" type="sibTrans" cxnId="{55D4CB6C-8FCB-4DE6-B419-2DDAB3C8D161}">
      <dgm:prSet/>
      <dgm:spPr/>
      <dgm:t>
        <a:bodyPr/>
        <a:lstStyle/>
        <a:p>
          <a:endParaRPr lang="en-US" sz="1050"/>
        </a:p>
      </dgm:t>
    </dgm:pt>
    <dgm:pt modelId="{05238C6A-9347-4F51-A3B9-5451B28A1F7D}" type="pres">
      <dgm:prSet presAssocID="{27270A69-DD1B-42C0-82C7-86BDBEA8F8DC}" presName="Name0" presStyleCnt="0">
        <dgm:presLayoutVars>
          <dgm:dir/>
          <dgm:animLvl val="lvl"/>
          <dgm:resizeHandles val="exact"/>
        </dgm:presLayoutVars>
      </dgm:prSet>
      <dgm:spPr/>
    </dgm:pt>
    <dgm:pt modelId="{D149AF2C-6385-46D2-9E20-FA7E00BB15CF}" type="pres">
      <dgm:prSet presAssocID="{F7EBC5A3-A358-4FD9-B0BA-D741557B7649}" presName="Name8" presStyleCnt="0"/>
      <dgm:spPr/>
    </dgm:pt>
    <dgm:pt modelId="{22782DA0-E6C2-4664-9531-4764A21CB6A9}" type="pres">
      <dgm:prSet presAssocID="{F7EBC5A3-A358-4FD9-B0BA-D741557B7649}" presName="level" presStyleLbl="node1" presStyleIdx="0" presStyleCnt="5">
        <dgm:presLayoutVars>
          <dgm:chMax val="1"/>
          <dgm:bulletEnabled val="1"/>
        </dgm:presLayoutVars>
      </dgm:prSet>
      <dgm:spPr/>
    </dgm:pt>
    <dgm:pt modelId="{98A0842B-DEFD-494E-B40E-2193ED8DCA1F}" type="pres">
      <dgm:prSet presAssocID="{F7EBC5A3-A358-4FD9-B0BA-D741557B7649}" presName="levelTx" presStyleLbl="revTx" presStyleIdx="0" presStyleCnt="0">
        <dgm:presLayoutVars>
          <dgm:chMax val="1"/>
          <dgm:bulletEnabled val="1"/>
        </dgm:presLayoutVars>
      </dgm:prSet>
      <dgm:spPr/>
    </dgm:pt>
    <dgm:pt modelId="{B68E37BD-21F7-4942-ABF7-9CC48F9E7CA1}" type="pres">
      <dgm:prSet presAssocID="{97F79803-B762-40CA-90DC-6F2E69D9DD1A}" presName="Name8" presStyleCnt="0"/>
      <dgm:spPr/>
    </dgm:pt>
    <dgm:pt modelId="{6389C4ED-AE9E-4BAD-95C5-D07A516FC46B}" type="pres">
      <dgm:prSet presAssocID="{97F79803-B762-40CA-90DC-6F2E69D9DD1A}" presName="level" presStyleLbl="node1" presStyleIdx="1" presStyleCnt="5">
        <dgm:presLayoutVars>
          <dgm:chMax val="1"/>
          <dgm:bulletEnabled val="1"/>
        </dgm:presLayoutVars>
      </dgm:prSet>
      <dgm:spPr/>
    </dgm:pt>
    <dgm:pt modelId="{95F4F059-5F8E-4E17-854F-25BB554C1D91}" type="pres">
      <dgm:prSet presAssocID="{97F79803-B762-40CA-90DC-6F2E69D9DD1A}" presName="levelTx" presStyleLbl="revTx" presStyleIdx="0" presStyleCnt="0">
        <dgm:presLayoutVars>
          <dgm:chMax val="1"/>
          <dgm:bulletEnabled val="1"/>
        </dgm:presLayoutVars>
      </dgm:prSet>
      <dgm:spPr/>
    </dgm:pt>
    <dgm:pt modelId="{58CECCA8-3EDF-460A-AF2B-F87D9A2EFCA7}" type="pres">
      <dgm:prSet presAssocID="{A718F0D6-C88A-496E-BDE9-57FC6B85DE6B}" presName="Name8" presStyleCnt="0"/>
      <dgm:spPr/>
    </dgm:pt>
    <dgm:pt modelId="{59BC6F3C-CA52-4AFD-B9A3-3C99D741281C}" type="pres">
      <dgm:prSet presAssocID="{A718F0D6-C88A-496E-BDE9-57FC6B85DE6B}" presName="level" presStyleLbl="node1" presStyleIdx="2" presStyleCnt="5">
        <dgm:presLayoutVars>
          <dgm:chMax val="1"/>
          <dgm:bulletEnabled val="1"/>
        </dgm:presLayoutVars>
      </dgm:prSet>
      <dgm:spPr/>
    </dgm:pt>
    <dgm:pt modelId="{0E1E9BA7-6452-4373-9ED0-0E8238949F33}" type="pres">
      <dgm:prSet presAssocID="{A718F0D6-C88A-496E-BDE9-57FC6B85DE6B}" presName="levelTx" presStyleLbl="revTx" presStyleIdx="0" presStyleCnt="0">
        <dgm:presLayoutVars>
          <dgm:chMax val="1"/>
          <dgm:bulletEnabled val="1"/>
        </dgm:presLayoutVars>
      </dgm:prSet>
      <dgm:spPr/>
    </dgm:pt>
    <dgm:pt modelId="{EC7A8995-F095-440D-AAFF-00E204C6BC34}" type="pres">
      <dgm:prSet presAssocID="{4B9014D8-A17A-4944-9625-D7D4D07DA680}" presName="Name8" presStyleCnt="0"/>
      <dgm:spPr/>
    </dgm:pt>
    <dgm:pt modelId="{02765E77-B4A1-4A26-AA60-C75510B09B84}" type="pres">
      <dgm:prSet presAssocID="{4B9014D8-A17A-4944-9625-D7D4D07DA680}" presName="level" presStyleLbl="node1" presStyleIdx="3" presStyleCnt="5">
        <dgm:presLayoutVars>
          <dgm:chMax val="1"/>
          <dgm:bulletEnabled val="1"/>
        </dgm:presLayoutVars>
      </dgm:prSet>
      <dgm:spPr/>
    </dgm:pt>
    <dgm:pt modelId="{AE44EFF6-B2D1-4A8E-96B9-B40CEAE9A033}" type="pres">
      <dgm:prSet presAssocID="{4B9014D8-A17A-4944-9625-D7D4D07DA680}" presName="levelTx" presStyleLbl="revTx" presStyleIdx="0" presStyleCnt="0">
        <dgm:presLayoutVars>
          <dgm:chMax val="1"/>
          <dgm:bulletEnabled val="1"/>
        </dgm:presLayoutVars>
      </dgm:prSet>
      <dgm:spPr/>
    </dgm:pt>
    <dgm:pt modelId="{F0DD5633-2C5F-4A50-BB0A-16B4537ED4F9}" type="pres">
      <dgm:prSet presAssocID="{C15011AD-F602-4C28-BEA2-BF9A5E9B39AF}" presName="Name8" presStyleCnt="0"/>
      <dgm:spPr/>
    </dgm:pt>
    <dgm:pt modelId="{5706BA8B-EBE2-4D9E-A648-8C07ED078031}" type="pres">
      <dgm:prSet presAssocID="{C15011AD-F602-4C28-BEA2-BF9A5E9B39AF}" presName="level" presStyleLbl="node1" presStyleIdx="4" presStyleCnt="5">
        <dgm:presLayoutVars>
          <dgm:chMax val="1"/>
          <dgm:bulletEnabled val="1"/>
        </dgm:presLayoutVars>
      </dgm:prSet>
      <dgm:spPr/>
    </dgm:pt>
    <dgm:pt modelId="{30AB1DFA-428E-4F15-92A4-66DC01E5E0A2}" type="pres">
      <dgm:prSet presAssocID="{C15011AD-F602-4C28-BEA2-BF9A5E9B39AF}" presName="levelTx" presStyleLbl="revTx" presStyleIdx="0" presStyleCnt="0">
        <dgm:presLayoutVars>
          <dgm:chMax val="1"/>
          <dgm:bulletEnabled val="1"/>
        </dgm:presLayoutVars>
      </dgm:prSet>
      <dgm:spPr/>
    </dgm:pt>
  </dgm:ptLst>
  <dgm:cxnLst>
    <dgm:cxn modelId="{ABA1F413-C430-45FC-A484-429FBDE8E454}" srcId="{27270A69-DD1B-42C0-82C7-86BDBEA8F8DC}" destId="{97F79803-B762-40CA-90DC-6F2E69D9DD1A}" srcOrd="1" destOrd="0" parTransId="{645711D8-4DB9-4BEA-9F6C-35599BC4C099}" sibTransId="{C01B6D1D-8E1D-495F-B8A2-775FD20BD977}"/>
    <dgm:cxn modelId="{0EF36D2C-F74B-4CE9-8424-B815FCA82B24}" type="presOf" srcId="{F7EBC5A3-A358-4FD9-B0BA-D741557B7649}" destId="{22782DA0-E6C2-4664-9531-4764A21CB6A9}" srcOrd="0" destOrd="0" presId="urn:microsoft.com/office/officeart/2005/8/layout/pyramid1"/>
    <dgm:cxn modelId="{5DF36931-E2AC-434C-977E-47CEF3AFE6F7}" type="presOf" srcId="{C15011AD-F602-4C28-BEA2-BF9A5E9B39AF}" destId="{30AB1DFA-428E-4F15-92A4-66DC01E5E0A2}" srcOrd="1" destOrd="0" presId="urn:microsoft.com/office/officeart/2005/8/layout/pyramid1"/>
    <dgm:cxn modelId="{5C43A73A-2607-49DA-AD22-F8A0CE49C334}" type="presOf" srcId="{F7EBC5A3-A358-4FD9-B0BA-D741557B7649}" destId="{98A0842B-DEFD-494E-B40E-2193ED8DCA1F}" srcOrd="1" destOrd="0" presId="urn:microsoft.com/office/officeart/2005/8/layout/pyramid1"/>
    <dgm:cxn modelId="{4F74263E-CBCA-497F-A4A1-35F5722B8FC7}" type="presOf" srcId="{4B9014D8-A17A-4944-9625-D7D4D07DA680}" destId="{AE44EFF6-B2D1-4A8E-96B9-B40CEAE9A033}" srcOrd="1" destOrd="0" presId="urn:microsoft.com/office/officeart/2005/8/layout/pyramid1"/>
    <dgm:cxn modelId="{2E5C195C-4823-4527-9CB5-B0023B8F2505}" srcId="{27270A69-DD1B-42C0-82C7-86BDBEA8F8DC}" destId="{4B9014D8-A17A-4944-9625-D7D4D07DA680}" srcOrd="3" destOrd="0" parTransId="{75395CA0-CE42-47DB-96FB-97F1703DC0DD}" sibTransId="{85B35EA1-F33B-4C72-9D4D-89BCCB625955}"/>
    <dgm:cxn modelId="{16B4BE47-4038-4AEF-83F1-1FBD07044419}" type="presOf" srcId="{A718F0D6-C88A-496E-BDE9-57FC6B85DE6B}" destId="{0E1E9BA7-6452-4373-9ED0-0E8238949F33}" srcOrd="1" destOrd="0" presId="urn:microsoft.com/office/officeart/2005/8/layout/pyramid1"/>
    <dgm:cxn modelId="{007EF047-6D4D-4D7C-A874-307312C2E4C6}" type="presOf" srcId="{C15011AD-F602-4C28-BEA2-BF9A5E9B39AF}" destId="{5706BA8B-EBE2-4D9E-A648-8C07ED078031}" srcOrd="0" destOrd="0" presId="urn:microsoft.com/office/officeart/2005/8/layout/pyramid1"/>
    <dgm:cxn modelId="{55D4CB6C-8FCB-4DE6-B419-2DDAB3C8D161}" srcId="{27270A69-DD1B-42C0-82C7-86BDBEA8F8DC}" destId="{F7EBC5A3-A358-4FD9-B0BA-D741557B7649}" srcOrd="0" destOrd="0" parTransId="{2328880E-FA76-4E7B-8293-18B74DD15863}" sibTransId="{F2BF574B-3087-4F1F-A85C-ECF3FA2A5BD5}"/>
    <dgm:cxn modelId="{B64D8C4F-480B-4C6B-98E7-ACB576A58D26}" type="presOf" srcId="{97F79803-B762-40CA-90DC-6F2E69D9DD1A}" destId="{6389C4ED-AE9E-4BAD-95C5-D07A516FC46B}" srcOrd="0" destOrd="0" presId="urn:microsoft.com/office/officeart/2005/8/layout/pyramid1"/>
    <dgm:cxn modelId="{ADCA1F50-1BED-4A20-9EDA-67CA3AC10148}" srcId="{27270A69-DD1B-42C0-82C7-86BDBEA8F8DC}" destId="{C15011AD-F602-4C28-BEA2-BF9A5E9B39AF}" srcOrd="4" destOrd="0" parTransId="{DE15B5D7-88DF-4773-AEEB-F2C97216AA7F}" sibTransId="{82708ACF-7ADA-44B1-B1F0-82F5847CBCF5}"/>
    <dgm:cxn modelId="{C224B556-DA64-47A8-A43B-0F7F594D9FCC}" type="presOf" srcId="{A718F0D6-C88A-496E-BDE9-57FC6B85DE6B}" destId="{59BC6F3C-CA52-4AFD-B9A3-3C99D741281C}" srcOrd="0" destOrd="0" presId="urn:microsoft.com/office/officeart/2005/8/layout/pyramid1"/>
    <dgm:cxn modelId="{F708FF86-ADDF-43A1-87ED-34F26E821D36}" type="presOf" srcId="{4B9014D8-A17A-4944-9625-D7D4D07DA680}" destId="{02765E77-B4A1-4A26-AA60-C75510B09B84}" srcOrd="0" destOrd="0" presId="urn:microsoft.com/office/officeart/2005/8/layout/pyramid1"/>
    <dgm:cxn modelId="{003AF3D5-F62F-4D4E-AF55-66BC61B69D7F}" srcId="{27270A69-DD1B-42C0-82C7-86BDBEA8F8DC}" destId="{A718F0D6-C88A-496E-BDE9-57FC6B85DE6B}" srcOrd="2" destOrd="0" parTransId="{E67D50F0-D767-4911-ACF3-05E587DD3BF9}" sibTransId="{A2C2A7FA-AFC3-4D4F-B111-568F2AFF372E}"/>
    <dgm:cxn modelId="{5DA334DE-99EC-4F1F-9508-D195651057F3}" type="presOf" srcId="{97F79803-B762-40CA-90DC-6F2E69D9DD1A}" destId="{95F4F059-5F8E-4E17-854F-25BB554C1D91}" srcOrd="1" destOrd="0" presId="urn:microsoft.com/office/officeart/2005/8/layout/pyramid1"/>
    <dgm:cxn modelId="{963656FD-5691-4BD6-BAB8-D82E98DDA4B0}" type="presOf" srcId="{27270A69-DD1B-42C0-82C7-86BDBEA8F8DC}" destId="{05238C6A-9347-4F51-A3B9-5451B28A1F7D}" srcOrd="0" destOrd="0" presId="urn:microsoft.com/office/officeart/2005/8/layout/pyramid1"/>
    <dgm:cxn modelId="{648D87E9-61F8-4FF1-909B-D9663FE8113D}" type="presParOf" srcId="{05238C6A-9347-4F51-A3B9-5451B28A1F7D}" destId="{D149AF2C-6385-46D2-9E20-FA7E00BB15CF}" srcOrd="0" destOrd="0" presId="urn:microsoft.com/office/officeart/2005/8/layout/pyramid1"/>
    <dgm:cxn modelId="{9531ACBA-7AFF-4DD6-B0E8-6F55F96F4BB8}" type="presParOf" srcId="{D149AF2C-6385-46D2-9E20-FA7E00BB15CF}" destId="{22782DA0-E6C2-4664-9531-4764A21CB6A9}" srcOrd="0" destOrd="0" presId="urn:microsoft.com/office/officeart/2005/8/layout/pyramid1"/>
    <dgm:cxn modelId="{73ACFB12-78F4-4D2F-BA12-95D9E59D9DF8}" type="presParOf" srcId="{D149AF2C-6385-46D2-9E20-FA7E00BB15CF}" destId="{98A0842B-DEFD-494E-B40E-2193ED8DCA1F}" srcOrd="1" destOrd="0" presId="urn:microsoft.com/office/officeart/2005/8/layout/pyramid1"/>
    <dgm:cxn modelId="{4473F902-2C89-4F17-8F38-641CB56F21EE}" type="presParOf" srcId="{05238C6A-9347-4F51-A3B9-5451B28A1F7D}" destId="{B68E37BD-21F7-4942-ABF7-9CC48F9E7CA1}" srcOrd="1" destOrd="0" presId="urn:microsoft.com/office/officeart/2005/8/layout/pyramid1"/>
    <dgm:cxn modelId="{1D239D5D-AF49-4C6D-A42C-84C13894B32D}" type="presParOf" srcId="{B68E37BD-21F7-4942-ABF7-9CC48F9E7CA1}" destId="{6389C4ED-AE9E-4BAD-95C5-D07A516FC46B}" srcOrd="0" destOrd="0" presId="urn:microsoft.com/office/officeart/2005/8/layout/pyramid1"/>
    <dgm:cxn modelId="{213811B7-F5F6-4B25-B111-D6391945C288}" type="presParOf" srcId="{B68E37BD-21F7-4942-ABF7-9CC48F9E7CA1}" destId="{95F4F059-5F8E-4E17-854F-25BB554C1D91}" srcOrd="1" destOrd="0" presId="urn:microsoft.com/office/officeart/2005/8/layout/pyramid1"/>
    <dgm:cxn modelId="{875C7CD9-48A2-4139-B0AF-C9B1E35F2873}" type="presParOf" srcId="{05238C6A-9347-4F51-A3B9-5451B28A1F7D}" destId="{58CECCA8-3EDF-460A-AF2B-F87D9A2EFCA7}" srcOrd="2" destOrd="0" presId="urn:microsoft.com/office/officeart/2005/8/layout/pyramid1"/>
    <dgm:cxn modelId="{FD89CDC9-71F2-4427-A152-5C81D9F63225}" type="presParOf" srcId="{58CECCA8-3EDF-460A-AF2B-F87D9A2EFCA7}" destId="{59BC6F3C-CA52-4AFD-B9A3-3C99D741281C}" srcOrd="0" destOrd="0" presId="urn:microsoft.com/office/officeart/2005/8/layout/pyramid1"/>
    <dgm:cxn modelId="{02062DEF-F519-4E2F-ACFF-BB3EBE3ED8D0}" type="presParOf" srcId="{58CECCA8-3EDF-460A-AF2B-F87D9A2EFCA7}" destId="{0E1E9BA7-6452-4373-9ED0-0E8238949F33}" srcOrd="1" destOrd="0" presId="urn:microsoft.com/office/officeart/2005/8/layout/pyramid1"/>
    <dgm:cxn modelId="{2531DDF6-A34F-4AEB-B967-0FD657C7624E}" type="presParOf" srcId="{05238C6A-9347-4F51-A3B9-5451B28A1F7D}" destId="{EC7A8995-F095-440D-AAFF-00E204C6BC34}" srcOrd="3" destOrd="0" presId="urn:microsoft.com/office/officeart/2005/8/layout/pyramid1"/>
    <dgm:cxn modelId="{AF56F8D3-7DBD-4B86-8319-FAB7155E1E3D}" type="presParOf" srcId="{EC7A8995-F095-440D-AAFF-00E204C6BC34}" destId="{02765E77-B4A1-4A26-AA60-C75510B09B84}" srcOrd="0" destOrd="0" presId="urn:microsoft.com/office/officeart/2005/8/layout/pyramid1"/>
    <dgm:cxn modelId="{1D5E7079-441C-40BE-88FC-EC408C8DF957}" type="presParOf" srcId="{EC7A8995-F095-440D-AAFF-00E204C6BC34}" destId="{AE44EFF6-B2D1-4A8E-96B9-B40CEAE9A033}" srcOrd="1" destOrd="0" presId="urn:microsoft.com/office/officeart/2005/8/layout/pyramid1"/>
    <dgm:cxn modelId="{82E70F04-C770-467D-A6D7-6EA3256E5A34}" type="presParOf" srcId="{05238C6A-9347-4F51-A3B9-5451B28A1F7D}" destId="{F0DD5633-2C5F-4A50-BB0A-16B4537ED4F9}" srcOrd="4" destOrd="0" presId="urn:microsoft.com/office/officeart/2005/8/layout/pyramid1"/>
    <dgm:cxn modelId="{996A60AB-6B4D-47A0-AFD1-4C9437B6B3E2}" type="presParOf" srcId="{F0DD5633-2C5F-4A50-BB0A-16B4537ED4F9}" destId="{5706BA8B-EBE2-4D9E-A648-8C07ED078031}" srcOrd="0" destOrd="0" presId="urn:microsoft.com/office/officeart/2005/8/layout/pyramid1"/>
    <dgm:cxn modelId="{E35C0548-0680-47E5-8B08-6A7E2328A528}" type="presParOf" srcId="{F0DD5633-2C5F-4A50-BB0A-16B4537ED4F9}" destId="{30AB1DFA-428E-4F15-92A4-66DC01E5E0A2}" srcOrd="1" destOrd="0" presId="urn:microsoft.com/office/officeart/2005/8/layout/pyramid1"/>
  </dgm:cxnLst>
  <dgm:bg/>
  <dgm:whole/>
  <dgm:extLst>
    <a:ext uri="http://schemas.microsoft.com/office/drawing/2008/diagram">
      <dsp:dataModelExt xmlns:dsp="http://schemas.microsoft.com/office/drawing/2008/diagram" relId="rId51"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618AA73A-6540-4C1C-A97E-35D983D4F683}" type="doc">
      <dgm:prSet loTypeId="urn:microsoft.com/office/officeart/2005/8/layout/vProcess5" loCatId="process" qsTypeId="urn:microsoft.com/office/officeart/2005/8/quickstyle/simple1" qsCatId="simple" csTypeId="urn:microsoft.com/office/officeart/2005/8/colors/accent0_1" csCatId="mainScheme" phldr="1"/>
      <dgm:spPr/>
      <dgm:t>
        <a:bodyPr/>
        <a:lstStyle/>
        <a:p>
          <a:endParaRPr lang="en-US"/>
        </a:p>
      </dgm:t>
    </dgm:pt>
    <dgm:pt modelId="{3AAF94E6-A031-43C8-A44E-1F0F2CBDE97D}">
      <dgm:prSet phldrT="[Text]" custT="1"/>
      <dgm:spPr/>
      <dgm:t>
        <a:bodyPr/>
        <a:lstStyle/>
        <a:p>
          <a:r>
            <a:rPr lang="lv-LV" sz="1000"/>
            <a:t>Iesniegšana (0.Posms)</a:t>
          </a:r>
          <a:endParaRPr lang="en-US" sz="1000"/>
        </a:p>
      </dgm:t>
    </dgm:pt>
    <dgm:pt modelId="{19FA5B87-1B31-4711-AD4A-E07EAB86A8C4}" type="parTrans" cxnId="{3EA369CE-DFC0-4E7F-8077-2C685ABED6F0}">
      <dgm:prSet/>
      <dgm:spPr/>
      <dgm:t>
        <a:bodyPr/>
        <a:lstStyle/>
        <a:p>
          <a:endParaRPr lang="en-US"/>
        </a:p>
      </dgm:t>
    </dgm:pt>
    <dgm:pt modelId="{AEE2334B-2206-4E17-A8B1-99AFDEE8F76C}" type="sibTrans" cxnId="{3EA369CE-DFC0-4E7F-8077-2C685ABED6F0}">
      <dgm:prSet/>
      <dgm:spPr/>
      <dgm:t>
        <a:bodyPr/>
        <a:lstStyle/>
        <a:p>
          <a:endParaRPr lang="en-US"/>
        </a:p>
      </dgm:t>
    </dgm:pt>
    <dgm:pt modelId="{273D6A95-2663-4F6B-B08A-70765B7C0087}">
      <dgm:prSet phldrT="[Text]" custT="1"/>
      <dgm:spPr/>
      <dgm:t>
        <a:bodyPr/>
        <a:lstStyle/>
        <a:p>
          <a:r>
            <a:rPr lang="lv-LV" sz="1000"/>
            <a:t>Administratīvais vērtējums (1.Posms)</a:t>
          </a:r>
          <a:endParaRPr lang="en-US" sz="1000"/>
        </a:p>
      </dgm:t>
    </dgm:pt>
    <dgm:pt modelId="{A1D9DAA9-8DD8-4D99-B18D-F478905558A0}" type="parTrans" cxnId="{9271A06A-7065-4406-9B13-56EC872FB4E5}">
      <dgm:prSet/>
      <dgm:spPr/>
      <dgm:t>
        <a:bodyPr/>
        <a:lstStyle/>
        <a:p>
          <a:endParaRPr lang="en-US"/>
        </a:p>
      </dgm:t>
    </dgm:pt>
    <dgm:pt modelId="{DB31397B-D77F-4D36-BAE4-7F3EDECFCC9A}" type="sibTrans" cxnId="{9271A06A-7065-4406-9B13-56EC872FB4E5}">
      <dgm:prSet/>
      <dgm:spPr/>
      <dgm:t>
        <a:bodyPr/>
        <a:lstStyle/>
        <a:p>
          <a:endParaRPr lang="en-US"/>
        </a:p>
      </dgm:t>
    </dgm:pt>
    <dgm:pt modelId="{B548C117-A0E3-4664-8CF9-CAE966AAE680}">
      <dgm:prSet phldrT="[Text]" custT="1"/>
      <dgm:spPr/>
      <dgm:t>
        <a:bodyPr/>
        <a:lstStyle/>
        <a:p>
          <a:r>
            <a:rPr lang="lv-LV" sz="800"/>
            <a:t>KC izvērtē atbilstību KC virzieniem</a:t>
          </a:r>
          <a:endParaRPr lang="en-US" sz="800"/>
        </a:p>
      </dgm:t>
    </dgm:pt>
    <dgm:pt modelId="{F1146545-F44A-40C5-95F8-6AEDD4870E62}" type="parTrans" cxnId="{81E1E5DE-F67F-400D-B0D7-128D151D2AAD}">
      <dgm:prSet/>
      <dgm:spPr/>
      <dgm:t>
        <a:bodyPr/>
        <a:lstStyle/>
        <a:p>
          <a:endParaRPr lang="en-US"/>
        </a:p>
      </dgm:t>
    </dgm:pt>
    <dgm:pt modelId="{814D355C-9C03-4EF0-B402-082D815CB547}" type="sibTrans" cxnId="{81E1E5DE-F67F-400D-B0D7-128D151D2AAD}">
      <dgm:prSet/>
      <dgm:spPr/>
      <dgm:t>
        <a:bodyPr/>
        <a:lstStyle/>
        <a:p>
          <a:endParaRPr lang="en-US"/>
        </a:p>
      </dgm:t>
    </dgm:pt>
    <dgm:pt modelId="{0C252D2E-7723-4AC5-AB7A-92E64A15C0B0}">
      <dgm:prSet phldrT="[Text]" custT="1"/>
      <dgm:spPr/>
      <dgm:t>
        <a:bodyPr/>
        <a:lstStyle/>
        <a:p>
          <a:r>
            <a:rPr lang="lv-LV" sz="1000"/>
            <a:t>PAP locekļu vērtējums (1.Posms)</a:t>
          </a:r>
          <a:endParaRPr lang="en-US" sz="1000"/>
        </a:p>
      </dgm:t>
    </dgm:pt>
    <dgm:pt modelId="{06FA6CF2-DF06-4D68-AA06-1264551ACDD1}" type="parTrans" cxnId="{544956A7-AA4C-41D8-BEA6-997CC96614F9}">
      <dgm:prSet/>
      <dgm:spPr/>
      <dgm:t>
        <a:bodyPr/>
        <a:lstStyle/>
        <a:p>
          <a:endParaRPr lang="en-US"/>
        </a:p>
      </dgm:t>
    </dgm:pt>
    <dgm:pt modelId="{12423F8F-D109-4839-A510-22D04F2A8D9D}" type="sibTrans" cxnId="{544956A7-AA4C-41D8-BEA6-997CC96614F9}">
      <dgm:prSet/>
      <dgm:spPr/>
      <dgm:t>
        <a:bodyPr/>
        <a:lstStyle/>
        <a:p>
          <a:endParaRPr lang="en-US"/>
        </a:p>
      </dgm:t>
    </dgm:pt>
    <dgm:pt modelId="{7876EBF6-7582-4489-8B2F-8E8F1D54CCDF}">
      <dgm:prSet phldrT="[Text]" custT="1"/>
      <dgm:spPr/>
      <dgm:t>
        <a:bodyPr/>
        <a:lstStyle/>
        <a:p>
          <a:r>
            <a:rPr lang="lv-LV" sz="800"/>
            <a:t>PAP loceklis par projektu sniedz savus komentārus un jautājumus (ja attiecienāms)</a:t>
          </a:r>
          <a:endParaRPr lang="en-US" sz="800"/>
        </a:p>
      </dgm:t>
    </dgm:pt>
    <dgm:pt modelId="{C294C327-AFC9-4710-9590-DE7725DBE734}" type="parTrans" cxnId="{E87B4D47-DA3A-42A0-B5AC-227994B08FAC}">
      <dgm:prSet/>
      <dgm:spPr/>
      <dgm:t>
        <a:bodyPr/>
        <a:lstStyle/>
        <a:p>
          <a:endParaRPr lang="en-US"/>
        </a:p>
      </dgm:t>
    </dgm:pt>
    <dgm:pt modelId="{75F1A050-F30E-4BF9-A7E5-4E736EED16FB}" type="sibTrans" cxnId="{E87B4D47-DA3A-42A0-B5AC-227994B08FAC}">
      <dgm:prSet/>
      <dgm:spPr/>
      <dgm:t>
        <a:bodyPr/>
        <a:lstStyle/>
        <a:p>
          <a:endParaRPr lang="en-US"/>
        </a:p>
      </dgm:t>
    </dgm:pt>
    <dgm:pt modelId="{12F9CD88-CECE-43F0-B314-A6751A928CD5}">
      <dgm:prSet phldrT="[Text]" custT="1"/>
      <dgm:spPr/>
      <dgm:t>
        <a:bodyPr/>
        <a:lstStyle/>
        <a:p>
          <a:r>
            <a:rPr lang="lv-LV" sz="800"/>
            <a:t>Projekts tiek iesniegts KC</a:t>
          </a:r>
          <a:endParaRPr lang="en-US" sz="800"/>
        </a:p>
      </dgm:t>
    </dgm:pt>
    <dgm:pt modelId="{64718D6D-1EF7-40BC-BB9B-18384699CAB4}" type="parTrans" cxnId="{D073BD66-31C5-41D4-B389-FB3FFF26EBD0}">
      <dgm:prSet/>
      <dgm:spPr/>
      <dgm:t>
        <a:bodyPr/>
        <a:lstStyle/>
        <a:p>
          <a:endParaRPr lang="en-US"/>
        </a:p>
      </dgm:t>
    </dgm:pt>
    <dgm:pt modelId="{BDF1CA42-D1DB-4FF6-AB09-BD41EE5FAF69}" type="sibTrans" cxnId="{D073BD66-31C5-41D4-B389-FB3FFF26EBD0}">
      <dgm:prSet/>
      <dgm:spPr/>
      <dgm:t>
        <a:bodyPr/>
        <a:lstStyle/>
        <a:p>
          <a:endParaRPr lang="en-US"/>
        </a:p>
      </dgm:t>
    </dgm:pt>
    <dgm:pt modelId="{31F73A07-B017-4CB2-8400-35F7B56A6ECC}">
      <dgm:prSet phldrT="[Text]" custT="1"/>
      <dgm:spPr/>
      <dgm:t>
        <a:bodyPr/>
        <a:lstStyle/>
        <a:p>
          <a:r>
            <a:rPr lang="lv-LV" sz="800"/>
            <a:t>Aizpildīti projekta dati</a:t>
          </a:r>
          <a:endParaRPr lang="en-US" sz="800"/>
        </a:p>
      </dgm:t>
    </dgm:pt>
    <dgm:pt modelId="{0DBE90AC-EA69-4DA0-947A-893DB3E293DD}" type="parTrans" cxnId="{33C5F534-65C4-4D2D-814B-A615D876DFBC}">
      <dgm:prSet/>
      <dgm:spPr/>
      <dgm:t>
        <a:bodyPr/>
        <a:lstStyle/>
        <a:p>
          <a:endParaRPr lang="en-US"/>
        </a:p>
      </dgm:t>
    </dgm:pt>
    <dgm:pt modelId="{E7179D0F-408A-4DBA-A09F-C58C72B8B759}" type="sibTrans" cxnId="{33C5F534-65C4-4D2D-814B-A615D876DFBC}">
      <dgm:prSet/>
      <dgm:spPr/>
      <dgm:t>
        <a:bodyPr/>
        <a:lstStyle/>
        <a:p>
          <a:endParaRPr lang="en-US"/>
        </a:p>
      </dgm:t>
    </dgm:pt>
    <dgm:pt modelId="{8D2EA4B5-E228-4FDD-B0D4-0BCDB8DC6255}">
      <dgm:prSet phldrT="[Text]" custT="1"/>
      <dgm:spPr/>
      <dgm:t>
        <a:bodyPr/>
        <a:lstStyle/>
        <a:p>
          <a:r>
            <a:rPr lang="lv-LV" sz="800"/>
            <a:t>Iesniegta finanšu informācija</a:t>
          </a:r>
          <a:endParaRPr lang="en-US" sz="800"/>
        </a:p>
      </dgm:t>
    </dgm:pt>
    <dgm:pt modelId="{A0A283B9-56A0-4139-A71F-859F840667C0}" type="parTrans" cxnId="{C4954287-D003-41EE-B257-7BA39555D635}">
      <dgm:prSet/>
      <dgm:spPr/>
      <dgm:t>
        <a:bodyPr/>
        <a:lstStyle/>
        <a:p>
          <a:endParaRPr lang="en-US"/>
        </a:p>
      </dgm:t>
    </dgm:pt>
    <dgm:pt modelId="{186153DE-A68D-49AF-A144-7CFE8454C03D}" type="sibTrans" cxnId="{C4954287-D003-41EE-B257-7BA39555D635}">
      <dgm:prSet/>
      <dgm:spPr/>
      <dgm:t>
        <a:bodyPr/>
        <a:lstStyle/>
        <a:p>
          <a:endParaRPr lang="en-US"/>
        </a:p>
      </dgm:t>
    </dgm:pt>
    <dgm:pt modelId="{30549509-26BB-402C-95B0-20841BCA8927}">
      <dgm:prSet phldrT="[Text]" custT="1"/>
      <dgm:spPr/>
      <dgm:t>
        <a:bodyPr/>
        <a:lstStyle/>
        <a:p>
          <a:r>
            <a:rPr lang="lv-LV" sz="800"/>
            <a:t>Iesniegti uzņēmuma finanšu dati par uzņēmumu (gada pārskats)</a:t>
          </a:r>
          <a:endParaRPr lang="en-US" sz="800"/>
        </a:p>
      </dgm:t>
    </dgm:pt>
    <dgm:pt modelId="{62282AB3-18AA-442F-A63A-D7558216EB2E}" type="parTrans" cxnId="{29487EEA-0C08-4F10-A1C1-F23FE60C7ED1}">
      <dgm:prSet/>
      <dgm:spPr/>
      <dgm:t>
        <a:bodyPr/>
        <a:lstStyle/>
        <a:p>
          <a:endParaRPr lang="en-US"/>
        </a:p>
      </dgm:t>
    </dgm:pt>
    <dgm:pt modelId="{1B5D9490-6C5E-4254-BC21-6E836D4F8F29}" type="sibTrans" cxnId="{29487EEA-0C08-4F10-A1C1-F23FE60C7ED1}">
      <dgm:prSet/>
      <dgm:spPr/>
      <dgm:t>
        <a:bodyPr/>
        <a:lstStyle/>
        <a:p>
          <a:endParaRPr lang="en-US"/>
        </a:p>
      </dgm:t>
    </dgm:pt>
    <dgm:pt modelId="{A01139A3-3907-4657-9131-279F14C70E98}">
      <dgm:prSet phldrT="[Text]" custT="1"/>
      <dgm:spPr/>
      <dgm:t>
        <a:bodyPr/>
        <a:lstStyle/>
        <a:p>
          <a:r>
            <a:rPr lang="lv-LV" sz="800"/>
            <a:t>KC novērtē projekta atbīsltību P&amp;A izmaksu būtībai</a:t>
          </a:r>
          <a:endParaRPr lang="en-US" sz="800"/>
        </a:p>
      </dgm:t>
    </dgm:pt>
    <dgm:pt modelId="{DF670894-8C92-4C48-9A8B-82672613D629}" type="parTrans" cxnId="{FAD638C9-9988-49AE-B37E-D37BFBD907CC}">
      <dgm:prSet/>
      <dgm:spPr/>
      <dgm:t>
        <a:bodyPr/>
        <a:lstStyle/>
        <a:p>
          <a:endParaRPr lang="en-US"/>
        </a:p>
      </dgm:t>
    </dgm:pt>
    <dgm:pt modelId="{02C71345-9684-4D6F-B2B9-52A659A1FE77}" type="sibTrans" cxnId="{FAD638C9-9988-49AE-B37E-D37BFBD907CC}">
      <dgm:prSet/>
      <dgm:spPr/>
      <dgm:t>
        <a:bodyPr/>
        <a:lstStyle/>
        <a:p>
          <a:endParaRPr lang="en-US"/>
        </a:p>
      </dgm:t>
    </dgm:pt>
    <dgm:pt modelId="{3D0039C0-E3A1-4A94-BC4B-898706300168}">
      <dgm:prSet phldrT="[Text]" custT="1"/>
      <dgm:spPr/>
      <dgm:t>
        <a:bodyPr/>
        <a:lstStyle/>
        <a:p>
          <a:r>
            <a:rPr lang="lv-LV" sz="800"/>
            <a:t>KC sniedz konsultāciijas un ieteikums projekta pieteikuma precizēšanai</a:t>
          </a:r>
          <a:endParaRPr lang="en-US" sz="800"/>
        </a:p>
      </dgm:t>
    </dgm:pt>
    <dgm:pt modelId="{C94424F5-E21A-4977-8BBC-BFA2F1A369EA}" type="parTrans" cxnId="{1DA920F1-7146-43D1-8E45-A0C773768F53}">
      <dgm:prSet/>
      <dgm:spPr/>
      <dgm:t>
        <a:bodyPr/>
        <a:lstStyle/>
        <a:p>
          <a:endParaRPr lang="en-US"/>
        </a:p>
      </dgm:t>
    </dgm:pt>
    <dgm:pt modelId="{24F0D32E-29A1-4036-A351-0DFDFC2FB3C4}" type="sibTrans" cxnId="{1DA920F1-7146-43D1-8E45-A0C773768F53}">
      <dgm:prSet/>
      <dgm:spPr/>
      <dgm:t>
        <a:bodyPr/>
        <a:lstStyle/>
        <a:p>
          <a:endParaRPr lang="en-US"/>
        </a:p>
      </dgm:t>
    </dgm:pt>
    <dgm:pt modelId="{1BF8BC5C-A2B4-45B9-B0C0-C28E4DB5A8CC}">
      <dgm:prSet phldrT="[Text]" custT="1"/>
      <dgm:spPr/>
      <dgm:t>
        <a:bodyPr/>
        <a:lstStyle/>
        <a:p>
          <a:r>
            <a:rPr lang="lv-LV" sz="1000"/>
            <a:t>Prezentācija projektu atlases padomē (2.Posms)</a:t>
          </a:r>
          <a:endParaRPr lang="en-US" sz="1000"/>
        </a:p>
      </dgm:t>
    </dgm:pt>
    <dgm:pt modelId="{0FD48B8E-CF74-4529-A47D-39DA4D2FFF31}" type="parTrans" cxnId="{C84B9878-E402-440F-881C-FD493430BBB1}">
      <dgm:prSet/>
      <dgm:spPr/>
      <dgm:t>
        <a:bodyPr/>
        <a:lstStyle/>
        <a:p>
          <a:endParaRPr lang="en-US"/>
        </a:p>
      </dgm:t>
    </dgm:pt>
    <dgm:pt modelId="{433BBBF4-2C44-4406-8BD7-089611DD9CAF}" type="sibTrans" cxnId="{C84B9878-E402-440F-881C-FD493430BBB1}">
      <dgm:prSet/>
      <dgm:spPr/>
      <dgm:t>
        <a:bodyPr/>
        <a:lstStyle/>
        <a:p>
          <a:endParaRPr lang="en-US"/>
        </a:p>
      </dgm:t>
    </dgm:pt>
    <dgm:pt modelId="{BECA8528-ED1D-43CD-9D11-0CE0AE1E4DC2}">
      <dgm:prSet phldrT="[Text]" custT="1"/>
      <dgm:spPr/>
      <dgm:t>
        <a:bodyPr/>
        <a:lstStyle/>
        <a:p>
          <a:r>
            <a:rPr lang="lv-LV" sz="1000"/>
            <a:t>PAP lēmums par īstenošanu (2. Posms)</a:t>
          </a:r>
          <a:endParaRPr lang="en-US" sz="1000"/>
        </a:p>
      </dgm:t>
    </dgm:pt>
    <dgm:pt modelId="{EED4B825-3E5F-4163-83A7-4890566B1E56}" type="parTrans" cxnId="{89718095-F6B6-47F1-9E93-F03751772F91}">
      <dgm:prSet/>
      <dgm:spPr/>
      <dgm:t>
        <a:bodyPr/>
        <a:lstStyle/>
        <a:p>
          <a:endParaRPr lang="en-US"/>
        </a:p>
      </dgm:t>
    </dgm:pt>
    <dgm:pt modelId="{D72ED513-B64F-4010-BCC9-E8ABE664C416}" type="sibTrans" cxnId="{89718095-F6B6-47F1-9E93-F03751772F91}">
      <dgm:prSet/>
      <dgm:spPr/>
      <dgm:t>
        <a:bodyPr/>
        <a:lstStyle/>
        <a:p>
          <a:endParaRPr lang="en-US"/>
        </a:p>
      </dgm:t>
    </dgm:pt>
    <dgm:pt modelId="{59120E61-92C0-47BE-8B3E-E611FD965160}">
      <dgm:prSet phldrT="[Text]"/>
      <dgm:spPr/>
      <dgm:t>
        <a:bodyPr/>
        <a:lstStyle/>
        <a:p>
          <a:endParaRPr lang="lv-LV"/>
        </a:p>
      </dgm:t>
    </dgm:pt>
    <dgm:pt modelId="{297D80DA-DCE6-443F-B44A-526BFC41449F}" type="parTrans" cxnId="{804A2256-08F4-43B5-8A73-FFD95A70F2AE}">
      <dgm:prSet/>
      <dgm:spPr/>
      <dgm:t>
        <a:bodyPr/>
        <a:lstStyle/>
        <a:p>
          <a:endParaRPr lang="en-US"/>
        </a:p>
      </dgm:t>
    </dgm:pt>
    <dgm:pt modelId="{A4A2452F-2897-46E2-AA08-2FBF19EBC8EC}" type="sibTrans" cxnId="{804A2256-08F4-43B5-8A73-FFD95A70F2AE}">
      <dgm:prSet/>
      <dgm:spPr/>
      <dgm:t>
        <a:bodyPr/>
        <a:lstStyle/>
        <a:p>
          <a:endParaRPr lang="en-US"/>
        </a:p>
      </dgm:t>
    </dgm:pt>
    <dgm:pt modelId="{2C69BC88-E024-4E75-857A-A181251087B4}">
      <dgm:prSet phldrT="[Text]"/>
      <dgm:spPr/>
      <dgm:t>
        <a:bodyPr/>
        <a:lstStyle/>
        <a:p>
          <a:endParaRPr lang="lv-LV"/>
        </a:p>
      </dgm:t>
    </dgm:pt>
    <dgm:pt modelId="{27B10205-EABE-40C6-8D9B-3532EACBC170}" type="parTrans" cxnId="{5D1985AD-B14C-4F33-8F65-1481B28A1C23}">
      <dgm:prSet/>
      <dgm:spPr/>
      <dgm:t>
        <a:bodyPr/>
        <a:lstStyle/>
        <a:p>
          <a:endParaRPr lang="en-US"/>
        </a:p>
      </dgm:t>
    </dgm:pt>
    <dgm:pt modelId="{F842B87B-2AB6-4BAD-B455-888D16473E32}" type="sibTrans" cxnId="{5D1985AD-B14C-4F33-8F65-1481B28A1C23}">
      <dgm:prSet/>
      <dgm:spPr/>
      <dgm:t>
        <a:bodyPr/>
        <a:lstStyle/>
        <a:p>
          <a:endParaRPr lang="en-US"/>
        </a:p>
      </dgm:t>
    </dgm:pt>
    <dgm:pt modelId="{13B1694B-D40C-44E9-8D15-AA49E275B526}">
      <dgm:prSet phldrT="[Text]" custT="1"/>
      <dgm:spPr/>
      <dgm:t>
        <a:bodyPr/>
        <a:lstStyle/>
        <a:p>
          <a:r>
            <a:rPr lang="lv-LV" sz="800"/>
            <a:t>Ja projekts tiek apstiprināts ar nosacījumu, lēmumu par nosacījumu izpildi pieņem PAP</a:t>
          </a:r>
          <a:endParaRPr lang="en-US" sz="800"/>
        </a:p>
      </dgm:t>
    </dgm:pt>
    <dgm:pt modelId="{1BF3EBD5-9521-4BC4-B87C-6D33F4D4F22A}" type="parTrans" cxnId="{0029BF0E-BCF8-407F-8A9C-E4C6A61F05DA}">
      <dgm:prSet/>
      <dgm:spPr/>
      <dgm:t>
        <a:bodyPr/>
        <a:lstStyle/>
        <a:p>
          <a:endParaRPr lang="lv-LV"/>
        </a:p>
      </dgm:t>
    </dgm:pt>
    <dgm:pt modelId="{2C63E141-48AD-49E1-89B3-EBE1D1A22AFC}" type="sibTrans" cxnId="{0029BF0E-BCF8-407F-8A9C-E4C6A61F05DA}">
      <dgm:prSet/>
      <dgm:spPr/>
      <dgm:t>
        <a:bodyPr/>
        <a:lstStyle/>
        <a:p>
          <a:endParaRPr lang="lv-LV"/>
        </a:p>
      </dgm:t>
    </dgm:pt>
    <dgm:pt modelId="{5F7FDBB8-F0D3-4DC3-8BA4-2E2A2FD2DA9C}">
      <dgm:prSet phldrT="[Text]" custT="1"/>
      <dgm:spPr/>
      <dgm:t>
        <a:bodyPr/>
        <a:lstStyle/>
        <a:p>
          <a:r>
            <a:rPr lang="lv-LV" sz="800"/>
            <a:t>Pārrunas, ja nepieciešams</a:t>
          </a:r>
          <a:endParaRPr lang="en-US" sz="800"/>
        </a:p>
      </dgm:t>
    </dgm:pt>
    <dgm:pt modelId="{910D7133-A4C2-4E7E-9384-9958A9BE5AF5}" type="sibTrans" cxnId="{85D5030B-5E7D-451A-BBCE-736432115B3F}">
      <dgm:prSet/>
      <dgm:spPr/>
      <dgm:t>
        <a:bodyPr/>
        <a:lstStyle/>
        <a:p>
          <a:endParaRPr lang="lv-LV"/>
        </a:p>
      </dgm:t>
    </dgm:pt>
    <dgm:pt modelId="{53A207E2-44F3-43BF-9353-28FAA9111AC8}" type="parTrans" cxnId="{85D5030B-5E7D-451A-BBCE-736432115B3F}">
      <dgm:prSet/>
      <dgm:spPr/>
      <dgm:t>
        <a:bodyPr/>
        <a:lstStyle/>
        <a:p>
          <a:endParaRPr lang="lv-LV"/>
        </a:p>
      </dgm:t>
    </dgm:pt>
    <dgm:pt modelId="{09864CF7-8E74-4B68-9F7D-02E3FDDABA60}">
      <dgm:prSet phldrT="[Text]" custT="1"/>
      <dgm:spPr/>
      <dgm:t>
        <a:bodyPr/>
        <a:lstStyle/>
        <a:p>
          <a:r>
            <a:rPr lang="lv-LV" sz="800"/>
            <a:t>Pieteiktie (t.sk. pārskatītie) projekti tiek prezentēti </a:t>
          </a:r>
          <a:endParaRPr lang="en-US" sz="800"/>
        </a:p>
      </dgm:t>
    </dgm:pt>
    <dgm:pt modelId="{6DEB8224-942E-4E6B-93DF-6B292B5C5FCE}" type="parTrans" cxnId="{047FC1CD-1EC5-4633-8A39-85C90523A6FE}">
      <dgm:prSet/>
      <dgm:spPr/>
      <dgm:t>
        <a:bodyPr/>
        <a:lstStyle/>
        <a:p>
          <a:endParaRPr lang="lv-LV"/>
        </a:p>
      </dgm:t>
    </dgm:pt>
    <dgm:pt modelId="{854F4091-EB11-44DE-84A5-609D8559937D}" type="sibTrans" cxnId="{047FC1CD-1EC5-4633-8A39-85C90523A6FE}">
      <dgm:prSet/>
      <dgm:spPr/>
      <dgm:t>
        <a:bodyPr/>
        <a:lstStyle/>
        <a:p>
          <a:endParaRPr lang="lv-LV"/>
        </a:p>
      </dgm:t>
    </dgm:pt>
    <dgm:pt modelId="{6E4A0FF7-58BF-4822-B394-A4305707B72B}">
      <dgm:prSet phldrT="[Text]" custT="1"/>
      <dgm:spPr/>
      <dgm:t>
        <a:bodyPr/>
        <a:lstStyle/>
        <a:p>
          <a:r>
            <a:rPr lang="lv-LV" sz="800"/>
            <a:t>Pārbaudīts GNU statuss</a:t>
          </a:r>
          <a:endParaRPr lang="en-US" sz="800"/>
        </a:p>
      </dgm:t>
    </dgm:pt>
    <dgm:pt modelId="{C8386EC0-A712-42F6-8423-0F841026AF4F}" type="parTrans" cxnId="{3FA443F9-C4B3-45E3-B930-90DB1F7A7E53}">
      <dgm:prSet/>
      <dgm:spPr/>
      <dgm:t>
        <a:bodyPr/>
        <a:lstStyle/>
        <a:p>
          <a:endParaRPr lang="en-US"/>
        </a:p>
      </dgm:t>
    </dgm:pt>
    <dgm:pt modelId="{870C2924-F4FC-4C3A-90A0-BC98EEE812D7}" type="sibTrans" cxnId="{3FA443F9-C4B3-45E3-B930-90DB1F7A7E53}">
      <dgm:prSet/>
      <dgm:spPr/>
      <dgm:t>
        <a:bodyPr/>
        <a:lstStyle/>
        <a:p>
          <a:endParaRPr lang="en-US"/>
        </a:p>
      </dgm:t>
    </dgm:pt>
    <dgm:pt modelId="{F47581CA-6EF1-4D87-95C4-6C4A3A6445A3}">
      <dgm:prSet phldrT="[Text]" custT="1"/>
      <dgm:spPr/>
      <dgm:t>
        <a:bodyPr/>
        <a:lstStyle/>
        <a:p>
          <a:r>
            <a:rPr lang="lv-LV" sz="800"/>
            <a:t>Padome vērtē saņemtos pieteikumus</a:t>
          </a:r>
          <a:endParaRPr lang="en-US" sz="800"/>
        </a:p>
      </dgm:t>
    </dgm:pt>
    <dgm:pt modelId="{DA570384-3162-4A4F-ACF2-DC73EA7317B0}" type="parTrans" cxnId="{744078C7-7956-4AB1-BFB9-D0792826A15A}">
      <dgm:prSet/>
      <dgm:spPr/>
      <dgm:t>
        <a:bodyPr/>
        <a:lstStyle/>
        <a:p>
          <a:endParaRPr lang="en-US"/>
        </a:p>
      </dgm:t>
    </dgm:pt>
    <dgm:pt modelId="{DFB5CBF2-0E91-4985-B91E-6E49CE7C943D}" type="sibTrans" cxnId="{744078C7-7956-4AB1-BFB9-D0792826A15A}">
      <dgm:prSet/>
      <dgm:spPr/>
      <dgm:t>
        <a:bodyPr/>
        <a:lstStyle/>
        <a:p>
          <a:endParaRPr lang="en-US"/>
        </a:p>
      </dgm:t>
    </dgm:pt>
    <dgm:pt modelId="{17A79648-BC18-4C11-A2D5-D02CC4BE623B}">
      <dgm:prSet phldrT="[Text]" custT="1"/>
      <dgm:spPr/>
      <dgm:t>
        <a:bodyPr/>
        <a:lstStyle/>
        <a:p>
          <a:r>
            <a:rPr lang="lv-LV" sz="800"/>
            <a:t>Projektu atlasaes padomes locekļu vērtējums tiek apkopots un sniegtas rekomendācijas nepieciešamajām projektu izmaiņām (ja attiecināms)</a:t>
          </a:r>
          <a:endParaRPr lang="en-US" sz="800"/>
        </a:p>
      </dgm:t>
    </dgm:pt>
    <dgm:pt modelId="{E4FF88B0-1D90-4074-9966-AA2F57874B77}" type="parTrans" cxnId="{ACC71F65-E15F-4818-ACFD-9CC8BA1A4809}">
      <dgm:prSet/>
      <dgm:spPr/>
      <dgm:t>
        <a:bodyPr/>
        <a:lstStyle/>
        <a:p>
          <a:endParaRPr lang="en-US"/>
        </a:p>
      </dgm:t>
    </dgm:pt>
    <dgm:pt modelId="{B0FCE23B-77CC-4361-89F5-C517F516C1ED}" type="sibTrans" cxnId="{ACC71F65-E15F-4818-ACFD-9CC8BA1A4809}">
      <dgm:prSet/>
      <dgm:spPr/>
      <dgm:t>
        <a:bodyPr/>
        <a:lstStyle/>
        <a:p>
          <a:endParaRPr lang="en-US"/>
        </a:p>
      </dgm:t>
    </dgm:pt>
    <dgm:pt modelId="{1633B68E-6199-4E78-AE03-209384145D47}">
      <dgm:prSet phldrT="[Text]" custT="1"/>
      <dgm:spPr/>
      <dgm:t>
        <a:bodyPr/>
        <a:lstStyle/>
        <a:p>
          <a:r>
            <a:rPr lang="lv-LV" sz="800"/>
            <a:t>Lēmums tiek pieņemts apkopojot individuālos vertējumus </a:t>
          </a:r>
          <a:endParaRPr lang="en-US" sz="800"/>
        </a:p>
      </dgm:t>
    </dgm:pt>
    <dgm:pt modelId="{25AF59E2-B1F5-439A-85D6-2D5DF448D6F5}" type="parTrans" cxnId="{8AC441A6-4492-484C-BEF8-A9B109217C20}">
      <dgm:prSet/>
      <dgm:spPr/>
      <dgm:t>
        <a:bodyPr/>
        <a:lstStyle/>
        <a:p>
          <a:endParaRPr lang="en-US"/>
        </a:p>
      </dgm:t>
    </dgm:pt>
    <dgm:pt modelId="{0A30AD1E-26E4-48B8-91FC-23DA1AB18818}" type="sibTrans" cxnId="{8AC441A6-4492-484C-BEF8-A9B109217C20}">
      <dgm:prSet/>
      <dgm:spPr/>
      <dgm:t>
        <a:bodyPr/>
        <a:lstStyle/>
        <a:p>
          <a:endParaRPr lang="en-US"/>
        </a:p>
      </dgm:t>
    </dgm:pt>
    <dgm:pt modelId="{AB1189ED-260D-4E78-9F56-ED46A748C971}">
      <dgm:prSet phldrT="[Text]" custT="1"/>
      <dgm:spPr/>
      <dgm:t>
        <a:bodyPr/>
        <a:lstStyle/>
        <a:p>
          <a:r>
            <a:rPr lang="lv-LV" sz="800"/>
            <a:t>Ja vairāki projekti konkurē par vienu finansējumu un saņem vienu vērtējumu, tad tie tiek noraidīti visi informējot par to projekta iesniedzējus un dodot tiem iespēju iesniegt finansējuma korekcijas atkārtotai vērtēšanai. </a:t>
          </a:r>
          <a:endParaRPr lang="en-US" sz="800"/>
        </a:p>
      </dgm:t>
    </dgm:pt>
    <dgm:pt modelId="{C84E0762-D03A-4B0B-931A-0A597AFB7B1C}" type="parTrans" cxnId="{79498A12-F336-4E43-99CF-FD90340BEC0F}">
      <dgm:prSet/>
      <dgm:spPr/>
      <dgm:t>
        <a:bodyPr/>
        <a:lstStyle/>
        <a:p>
          <a:endParaRPr lang="en-US"/>
        </a:p>
      </dgm:t>
    </dgm:pt>
    <dgm:pt modelId="{C22E75B1-A7E7-4E24-A768-ED2230F9CE53}" type="sibTrans" cxnId="{79498A12-F336-4E43-99CF-FD90340BEC0F}">
      <dgm:prSet/>
      <dgm:spPr/>
      <dgm:t>
        <a:bodyPr/>
        <a:lstStyle/>
        <a:p>
          <a:endParaRPr lang="en-US"/>
        </a:p>
      </dgm:t>
    </dgm:pt>
    <dgm:pt modelId="{A11615E6-6A76-4193-B671-A6D08AD261A0}">
      <dgm:prSet phldrT="[Text]" custT="1"/>
      <dgm:spPr/>
      <dgm:t>
        <a:bodyPr/>
        <a:lstStyle/>
        <a:p>
          <a:r>
            <a:rPr lang="lv-LV" sz="800"/>
            <a:t>Ja projekts tiek apstipirnāts, tas tiek iekļauts sakstā, kas tiek nosūtīts CFLA</a:t>
          </a:r>
          <a:endParaRPr lang="en-US" sz="800"/>
        </a:p>
      </dgm:t>
    </dgm:pt>
    <dgm:pt modelId="{597D060F-3288-435F-97CC-9CB1DC11E073}" type="parTrans" cxnId="{7BD542CB-AB24-43FD-A9F6-197A88DE3941}">
      <dgm:prSet/>
      <dgm:spPr/>
      <dgm:t>
        <a:bodyPr/>
        <a:lstStyle/>
        <a:p>
          <a:endParaRPr lang="en-US"/>
        </a:p>
      </dgm:t>
    </dgm:pt>
    <dgm:pt modelId="{76604654-13C0-4C42-A796-DA2517AE4280}" type="sibTrans" cxnId="{7BD542CB-AB24-43FD-A9F6-197A88DE3941}">
      <dgm:prSet/>
      <dgm:spPr/>
      <dgm:t>
        <a:bodyPr/>
        <a:lstStyle/>
        <a:p>
          <a:endParaRPr lang="en-US"/>
        </a:p>
      </dgm:t>
    </dgm:pt>
    <dgm:pt modelId="{C163EF44-EB9A-4197-BEC4-74F35C436F05}">
      <dgm:prSet phldrT="[Text]" custT="1"/>
      <dgm:spPr/>
      <dgm:t>
        <a:bodyPr/>
        <a:lstStyle/>
        <a:p>
          <a:r>
            <a:rPr lang="lv-LV" sz="800"/>
            <a:t>Ja projekts tiek noraidīts, </a:t>
          </a:r>
          <a:r>
            <a:rPr lang="en-US" sz="800"/>
            <a:t>15 darbdienu laikā no </a:t>
          </a:r>
          <a:r>
            <a:rPr lang="lv-LV" sz="800"/>
            <a:t>PAP</a:t>
          </a:r>
          <a:r>
            <a:rPr lang="en-US" sz="800"/>
            <a:t> sēdes dienas rakstiski informē sadarbības partner</a:t>
          </a:r>
          <a:r>
            <a:rPr lang="lv-LV" sz="800"/>
            <a:t>i</a:t>
          </a:r>
          <a:r>
            <a:rPr lang="en-US" sz="800"/>
            <a:t> par noraidīto pētniecības projektu, sniedzot skaidrojumu par noraidīšanas iemesliem un apstrīdēšanas iespējām</a:t>
          </a:r>
        </a:p>
      </dgm:t>
    </dgm:pt>
    <dgm:pt modelId="{5B712DF7-5997-4AAD-BE23-6E497E07044D}" type="parTrans" cxnId="{D280B734-B497-4A04-9D28-67EE44C7EE7B}">
      <dgm:prSet/>
      <dgm:spPr/>
      <dgm:t>
        <a:bodyPr/>
        <a:lstStyle/>
        <a:p>
          <a:endParaRPr lang="en-US"/>
        </a:p>
      </dgm:t>
    </dgm:pt>
    <dgm:pt modelId="{EC92239D-312E-4053-84B0-A1F8CDAE5323}" type="sibTrans" cxnId="{D280B734-B497-4A04-9D28-67EE44C7EE7B}">
      <dgm:prSet/>
      <dgm:spPr/>
      <dgm:t>
        <a:bodyPr/>
        <a:lstStyle/>
        <a:p>
          <a:endParaRPr lang="en-US"/>
        </a:p>
      </dgm:t>
    </dgm:pt>
    <dgm:pt modelId="{AD8F31B0-0641-4470-AC73-FF85DC214373}" type="pres">
      <dgm:prSet presAssocID="{618AA73A-6540-4C1C-A97E-35D983D4F683}" presName="outerComposite" presStyleCnt="0">
        <dgm:presLayoutVars>
          <dgm:chMax val="5"/>
          <dgm:dir/>
          <dgm:resizeHandles val="exact"/>
        </dgm:presLayoutVars>
      </dgm:prSet>
      <dgm:spPr/>
    </dgm:pt>
    <dgm:pt modelId="{97103222-DB7F-4E96-B20C-A03F2CF5690F}" type="pres">
      <dgm:prSet presAssocID="{618AA73A-6540-4C1C-A97E-35D983D4F683}" presName="dummyMaxCanvas" presStyleCnt="0">
        <dgm:presLayoutVars/>
      </dgm:prSet>
      <dgm:spPr/>
    </dgm:pt>
    <dgm:pt modelId="{A8E2C265-7A60-4DD9-A2EA-441FE0E205D0}" type="pres">
      <dgm:prSet presAssocID="{618AA73A-6540-4C1C-A97E-35D983D4F683}" presName="FiveNodes_1" presStyleLbl="node1" presStyleIdx="0" presStyleCnt="5" custScaleY="87485">
        <dgm:presLayoutVars>
          <dgm:bulletEnabled val="1"/>
        </dgm:presLayoutVars>
      </dgm:prSet>
      <dgm:spPr/>
    </dgm:pt>
    <dgm:pt modelId="{A1B286F8-BC46-4300-A3C4-95F8D4CA43B7}" type="pres">
      <dgm:prSet presAssocID="{618AA73A-6540-4C1C-A97E-35D983D4F683}" presName="FiveNodes_2" presStyleLbl="node1" presStyleIdx="1" presStyleCnt="5">
        <dgm:presLayoutVars>
          <dgm:bulletEnabled val="1"/>
        </dgm:presLayoutVars>
      </dgm:prSet>
      <dgm:spPr/>
    </dgm:pt>
    <dgm:pt modelId="{5E9D5D3E-FD49-4C6C-A0CB-AE9725FC8C0B}" type="pres">
      <dgm:prSet presAssocID="{618AA73A-6540-4C1C-A97E-35D983D4F683}" presName="FiveNodes_3" presStyleLbl="node1" presStyleIdx="2" presStyleCnt="5">
        <dgm:presLayoutVars>
          <dgm:bulletEnabled val="1"/>
        </dgm:presLayoutVars>
      </dgm:prSet>
      <dgm:spPr/>
    </dgm:pt>
    <dgm:pt modelId="{88911AC1-7D4D-4E2A-97D1-B67A11024550}" type="pres">
      <dgm:prSet presAssocID="{618AA73A-6540-4C1C-A97E-35D983D4F683}" presName="FiveNodes_4" presStyleLbl="node1" presStyleIdx="3" presStyleCnt="5">
        <dgm:presLayoutVars>
          <dgm:bulletEnabled val="1"/>
        </dgm:presLayoutVars>
      </dgm:prSet>
      <dgm:spPr/>
    </dgm:pt>
    <dgm:pt modelId="{951747B2-9D39-4B41-8C14-443E2C11F673}" type="pres">
      <dgm:prSet presAssocID="{618AA73A-6540-4C1C-A97E-35D983D4F683}" presName="FiveNodes_5" presStyleLbl="node1" presStyleIdx="4" presStyleCnt="5" custScaleX="96871" custScaleY="112310" custLinFactNeighborX="0" custLinFactNeighborY="29240">
        <dgm:presLayoutVars>
          <dgm:bulletEnabled val="1"/>
        </dgm:presLayoutVars>
      </dgm:prSet>
      <dgm:spPr/>
    </dgm:pt>
    <dgm:pt modelId="{80A1996D-2E40-43A7-A1AF-66CD48A06CF8}" type="pres">
      <dgm:prSet presAssocID="{618AA73A-6540-4C1C-A97E-35D983D4F683}" presName="FiveConn_1-2" presStyleLbl="fgAccFollowNode1" presStyleIdx="0" presStyleCnt="4">
        <dgm:presLayoutVars>
          <dgm:bulletEnabled val="1"/>
        </dgm:presLayoutVars>
      </dgm:prSet>
      <dgm:spPr/>
    </dgm:pt>
    <dgm:pt modelId="{D586CE4B-54D6-4CF2-AB19-C9505AC1F558}" type="pres">
      <dgm:prSet presAssocID="{618AA73A-6540-4C1C-A97E-35D983D4F683}" presName="FiveConn_2-3" presStyleLbl="fgAccFollowNode1" presStyleIdx="1" presStyleCnt="4">
        <dgm:presLayoutVars>
          <dgm:bulletEnabled val="1"/>
        </dgm:presLayoutVars>
      </dgm:prSet>
      <dgm:spPr/>
    </dgm:pt>
    <dgm:pt modelId="{B06D2A5B-8DD4-4AD7-9558-4727541221A4}" type="pres">
      <dgm:prSet presAssocID="{618AA73A-6540-4C1C-A97E-35D983D4F683}" presName="FiveConn_3-4" presStyleLbl="fgAccFollowNode1" presStyleIdx="2" presStyleCnt="4">
        <dgm:presLayoutVars>
          <dgm:bulletEnabled val="1"/>
        </dgm:presLayoutVars>
      </dgm:prSet>
      <dgm:spPr/>
    </dgm:pt>
    <dgm:pt modelId="{45A00E82-08F9-4A21-AC37-B0763978E784}" type="pres">
      <dgm:prSet presAssocID="{618AA73A-6540-4C1C-A97E-35D983D4F683}" presName="FiveConn_4-5" presStyleLbl="fgAccFollowNode1" presStyleIdx="3" presStyleCnt="4">
        <dgm:presLayoutVars>
          <dgm:bulletEnabled val="1"/>
        </dgm:presLayoutVars>
      </dgm:prSet>
      <dgm:spPr/>
    </dgm:pt>
    <dgm:pt modelId="{F7F49EB7-4380-4E60-BF34-CD64EF23F146}" type="pres">
      <dgm:prSet presAssocID="{618AA73A-6540-4C1C-A97E-35D983D4F683}" presName="FiveNodes_1_text" presStyleLbl="node1" presStyleIdx="4" presStyleCnt="5">
        <dgm:presLayoutVars>
          <dgm:bulletEnabled val="1"/>
        </dgm:presLayoutVars>
      </dgm:prSet>
      <dgm:spPr/>
    </dgm:pt>
    <dgm:pt modelId="{3E89B482-C243-44AB-8BD4-9FC13E274540}" type="pres">
      <dgm:prSet presAssocID="{618AA73A-6540-4C1C-A97E-35D983D4F683}" presName="FiveNodes_2_text" presStyleLbl="node1" presStyleIdx="4" presStyleCnt="5">
        <dgm:presLayoutVars>
          <dgm:bulletEnabled val="1"/>
        </dgm:presLayoutVars>
      </dgm:prSet>
      <dgm:spPr/>
    </dgm:pt>
    <dgm:pt modelId="{A86E44A4-3D14-489C-9758-56046F7286BC}" type="pres">
      <dgm:prSet presAssocID="{618AA73A-6540-4C1C-A97E-35D983D4F683}" presName="FiveNodes_3_text" presStyleLbl="node1" presStyleIdx="4" presStyleCnt="5">
        <dgm:presLayoutVars>
          <dgm:bulletEnabled val="1"/>
        </dgm:presLayoutVars>
      </dgm:prSet>
      <dgm:spPr/>
    </dgm:pt>
    <dgm:pt modelId="{6934CF4A-F756-4234-82FA-565C9456A1E1}" type="pres">
      <dgm:prSet presAssocID="{618AA73A-6540-4C1C-A97E-35D983D4F683}" presName="FiveNodes_4_text" presStyleLbl="node1" presStyleIdx="4" presStyleCnt="5">
        <dgm:presLayoutVars>
          <dgm:bulletEnabled val="1"/>
        </dgm:presLayoutVars>
      </dgm:prSet>
      <dgm:spPr/>
    </dgm:pt>
    <dgm:pt modelId="{759701DF-0B3E-45AF-AE35-1FBC2FAD8A92}" type="pres">
      <dgm:prSet presAssocID="{618AA73A-6540-4C1C-A97E-35D983D4F683}" presName="FiveNodes_5_text" presStyleLbl="node1" presStyleIdx="4" presStyleCnt="5">
        <dgm:presLayoutVars>
          <dgm:bulletEnabled val="1"/>
        </dgm:presLayoutVars>
      </dgm:prSet>
      <dgm:spPr/>
    </dgm:pt>
  </dgm:ptLst>
  <dgm:cxnLst>
    <dgm:cxn modelId="{4AF69505-050B-4592-9070-1E9644167E87}" type="presOf" srcId="{0C252D2E-7723-4AC5-AB7A-92E64A15C0B0}" destId="{A86E44A4-3D14-489C-9758-56046F7286BC}" srcOrd="1" destOrd="0" presId="urn:microsoft.com/office/officeart/2005/8/layout/vProcess5"/>
    <dgm:cxn modelId="{85D5030B-5E7D-451A-BBCE-736432115B3F}" srcId="{3AAF94E6-A031-43C8-A44E-1F0F2CBDE97D}" destId="{5F7FDBB8-F0D3-4DC3-8BA4-2E2A2FD2DA9C}" srcOrd="0" destOrd="0" parTransId="{53A207E2-44F3-43BF-9353-28FAA9111AC8}" sibTransId="{910D7133-A4C2-4E7E-9384-9958A9BE5AF5}"/>
    <dgm:cxn modelId="{AF38BB0B-7D4E-43C7-A480-1C23F3A62329}" type="presOf" srcId="{AEE2334B-2206-4E17-A8B1-99AFDEE8F76C}" destId="{80A1996D-2E40-43A7-A1AF-66CD48A06CF8}" srcOrd="0" destOrd="0" presId="urn:microsoft.com/office/officeart/2005/8/layout/vProcess5"/>
    <dgm:cxn modelId="{0029BF0E-BCF8-407F-8A9C-E4C6A61F05DA}" srcId="{BECA8528-ED1D-43CD-9D11-0CE0AE1E4DC2}" destId="{13B1694B-D40C-44E9-8D15-AA49E275B526}" srcOrd="0" destOrd="0" parTransId="{1BF3EBD5-9521-4BC4-B87C-6D33F4D4F22A}" sibTransId="{2C63E141-48AD-49E1-89B3-EBE1D1A22AFC}"/>
    <dgm:cxn modelId="{79498A12-F336-4E43-99CF-FD90340BEC0F}" srcId="{1BF8BC5C-A2B4-45B9-B0C0-C28E4DB5A8CC}" destId="{AB1189ED-260D-4E78-9F56-ED46A748C971}" srcOrd="2" destOrd="0" parTransId="{C84E0762-D03A-4B0B-931A-0A597AFB7B1C}" sibTransId="{C22E75B1-A7E7-4E24-A768-ED2230F9CE53}"/>
    <dgm:cxn modelId="{6155AD20-E64A-460C-A8B8-F7310845A1D6}" type="presOf" srcId="{17A79648-BC18-4C11-A2D5-D02CC4BE623B}" destId="{A86E44A4-3D14-489C-9758-56046F7286BC}" srcOrd="1" destOrd="2" presId="urn:microsoft.com/office/officeart/2005/8/layout/vProcess5"/>
    <dgm:cxn modelId="{A7AF0523-D85A-4951-AA09-B15BFB2A47BD}" type="presOf" srcId="{AB1189ED-260D-4E78-9F56-ED46A748C971}" destId="{6934CF4A-F756-4234-82FA-565C9456A1E1}" srcOrd="1" destOrd="3" presId="urn:microsoft.com/office/officeart/2005/8/layout/vProcess5"/>
    <dgm:cxn modelId="{B4A7A023-84D7-4127-835F-6BA1AF56F27B}" type="presOf" srcId="{3D0039C0-E3A1-4A94-BC4B-898706300168}" destId="{3E89B482-C243-44AB-8BD4-9FC13E274540}" srcOrd="1" destOrd="3" presId="urn:microsoft.com/office/officeart/2005/8/layout/vProcess5"/>
    <dgm:cxn modelId="{C2F35E2A-A98B-4EA5-B191-F9289AB48134}" type="presOf" srcId="{17A79648-BC18-4C11-A2D5-D02CC4BE623B}" destId="{5E9D5D3E-FD49-4C6C-A0CB-AE9725FC8C0B}" srcOrd="0" destOrd="2" presId="urn:microsoft.com/office/officeart/2005/8/layout/vProcess5"/>
    <dgm:cxn modelId="{62A6692D-9A04-4B7A-8BD7-02E9B7ED359F}" type="presOf" srcId="{6E4A0FF7-58BF-4822-B394-A4305707B72B}" destId="{F7F49EB7-4380-4E60-BF34-CD64EF23F146}" srcOrd="1" destOrd="6" presId="urn:microsoft.com/office/officeart/2005/8/layout/vProcess5"/>
    <dgm:cxn modelId="{475ABC2F-87E6-4814-9ABF-8182B28FA4BD}" type="presOf" srcId="{13B1694B-D40C-44E9-8D15-AA49E275B526}" destId="{951747B2-9D39-4B41-8C14-443E2C11F673}" srcOrd="0" destOrd="1" presId="urn:microsoft.com/office/officeart/2005/8/layout/vProcess5"/>
    <dgm:cxn modelId="{F1CEC42F-6EB5-4061-A90B-9250588A5C49}" type="presOf" srcId="{1633B68E-6199-4E78-AE03-209384145D47}" destId="{951747B2-9D39-4B41-8C14-443E2C11F673}" srcOrd="0" destOrd="2" presId="urn:microsoft.com/office/officeart/2005/8/layout/vProcess5"/>
    <dgm:cxn modelId="{D280B734-B497-4A04-9D28-67EE44C7EE7B}" srcId="{BECA8528-ED1D-43CD-9D11-0CE0AE1E4DC2}" destId="{C163EF44-EB9A-4197-BEC4-74F35C436F05}" srcOrd="3" destOrd="0" parTransId="{5B712DF7-5997-4AAD-BE23-6E497E07044D}" sibTransId="{EC92239D-312E-4053-84B0-A1F8CDAE5323}"/>
    <dgm:cxn modelId="{33C5F534-65C4-4D2D-814B-A615D876DFBC}" srcId="{3AAF94E6-A031-43C8-A44E-1F0F2CBDE97D}" destId="{31F73A07-B017-4CB2-8400-35F7B56A6ECC}" srcOrd="2" destOrd="0" parTransId="{0DBE90AC-EA69-4DA0-947A-893DB3E293DD}" sibTransId="{E7179D0F-408A-4DBA-A09F-C58C72B8B759}"/>
    <dgm:cxn modelId="{45DD3539-6F9C-411C-9575-EDC56790B64D}" type="presOf" srcId="{5F7FDBB8-F0D3-4DC3-8BA4-2E2A2FD2DA9C}" destId="{F7F49EB7-4380-4E60-BF34-CD64EF23F146}" srcOrd="1" destOrd="1" presId="urn:microsoft.com/office/officeart/2005/8/layout/vProcess5"/>
    <dgm:cxn modelId="{FD36CE5E-7F3F-40ED-8E6F-09AAECD8615F}" type="presOf" srcId="{7876EBF6-7582-4489-8B2F-8E8F1D54CCDF}" destId="{A86E44A4-3D14-489C-9758-56046F7286BC}" srcOrd="1" destOrd="1" presId="urn:microsoft.com/office/officeart/2005/8/layout/vProcess5"/>
    <dgm:cxn modelId="{FBC06A62-3E62-48C5-8904-C349B2A694E4}" type="presOf" srcId="{12423F8F-D109-4839-A510-22D04F2A8D9D}" destId="{B06D2A5B-8DD4-4AD7-9558-4727541221A4}" srcOrd="0" destOrd="0" presId="urn:microsoft.com/office/officeart/2005/8/layout/vProcess5"/>
    <dgm:cxn modelId="{797CAF63-7AE6-46EF-84B5-6B70C1D10113}" type="presOf" srcId="{3AAF94E6-A031-43C8-A44E-1F0F2CBDE97D}" destId="{F7F49EB7-4380-4E60-BF34-CD64EF23F146}" srcOrd="1" destOrd="0" presId="urn:microsoft.com/office/officeart/2005/8/layout/vProcess5"/>
    <dgm:cxn modelId="{6E41F343-4C56-415A-A3DD-76EC26E5FE49}" type="presOf" srcId="{8D2EA4B5-E228-4FDD-B0D4-0BCDB8DC6255}" destId="{F7F49EB7-4380-4E60-BF34-CD64EF23F146}" srcOrd="1" destOrd="4" presId="urn:microsoft.com/office/officeart/2005/8/layout/vProcess5"/>
    <dgm:cxn modelId="{ACC71F65-E15F-4818-ACFD-9CC8BA1A4809}" srcId="{0C252D2E-7723-4AC5-AB7A-92E64A15C0B0}" destId="{17A79648-BC18-4C11-A2D5-D02CC4BE623B}" srcOrd="1" destOrd="0" parTransId="{E4FF88B0-1D90-4074-9966-AA2F57874B77}" sibTransId="{B0FCE23B-77CC-4361-89F5-C517F516C1ED}"/>
    <dgm:cxn modelId="{5B4A4F45-7CF1-4EAC-83DF-8E0DFBA6292E}" type="presOf" srcId="{A11615E6-6A76-4193-B671-A6D08AD261A0}" destId="{951747B2-9D39-4B41-8C14-443E2C11F673}" srcOrd="0" destOrd="3" presId="urn:microsoft.com/office/officeart/2005/8/layout/vProcess5"/>
    <dgm:cxn modelId="{3C17A665-287B-42B5-9019-188669018619}" type="presOf" srcId="{DB31397B-D77F-4D36-BAE4-7F3EDECFCC9A}" destId="{D586CE4B-54D6-4CF2-AB19-C9505AC1F558}" srcOrd="0" destOrd="0" presId="urn:microsoft.com/office/officeart/2005/8/layout/vProcess5"/>
    <dgm:cxn modelId="{D073BD66-31C5-41D4-B389-FB3FFF26EBD0}" srcId="{3AAF94E6-A031-43C8-A44E-1F0F2CBDE97D}" destId="{12F9CD88-CECE-43F0-B314-A6751A928CD5}" srcOrd="1" destOrd="0" parTransId="{64718D6D-1EF7-40BC-BB9B-18384699CAB4}" sibTransId="{BDF1CA42-D1DB-4FF6-AB09-BD41EE5FAF69}"/>
    <dgm:cxn modelId="{E87B4D47-DA3A-42A0-B5AC-227994B08FAC}" srcId="{0C252D2E-7723-4AC5-AB7A-92E64A15C0B0}" destId="{7876EBF6-7582-4489-8B2F-8E8F1D54CCDF}" srcOrd="0" destOrd="0" parTransId="{C294C327-AFC9-4710-9590-DE7725DBE734}" sibTransId="{75F1A050-F30E-4BF9-A7E5-4E736EED16FB}"/>
    <dgm:cxn modelId="{9271A06A-7065-4406-9B13-56EC872FB4E5}" srcId="{618AA73A-6540-4C1C-A97E-35D983D4F683}" destId="{273D6A95-2663-4F6B-B08A-70765B7C0087}" srcOrd="1" destOrd="0" parTransId="{A1D9DAA9-8DD8-4D99-B18D-F478905558A0}" sibTransId="{DB31397B-D77F-4D36-BAE4-7F3EDECFCC9A}"/>
    <dgm:cxn modelId="{1213194B-7CEC-4006-B1FF-F1EBC1F78D42}" type="presOf" srcId="{B548C117-A0E3-4664-8CF9-CAE966AAE680}" destId="{3E89B482-C243-44AB-8BD4-9FC13E274540}" srcOrd="1" destOrd="1" presId="urn:microsoft.com/office/officeart/2005/8/layout/vProcess5"/>
    <dgm:cxn modelId="{59D8604F-4B56-4735-B76D-70D71738463C}" type="presOf" srcId="{273D6A95-2663-4F6B-B08A-70765B7C0087}" destId="{A1B286F8-BC46-4300-A3C4-95F8D4CA43B7}" srcOrd="0" destOrd="0" presId="urn:microsoft.com/office/officeart/2005/8/layout/vProcess5"/>
    <dgm:cxn modelId="{A5FF624F-61BE-4657-8884-E2498B933E26}" type="presOf" srcId="{A11615E6-6A76-4193-B671-A6D08AD261A0}" destId="{759701DF-0B3E-45AF-AE35-1FBC2FAD8A92}" srcOrd="1" destOrd="3" presId="urn:microsoft.com/office/officeart/2005/8/layout/vProcess5"/>
    <dgm:cxn modelId="{F9152151-B807-4833-8F97-AAB88CBD9F1D}" type="presOf" srcId="{1633B68E-6199-4E78-AE03-209384145D47}" destId="{759701DF-0B3E-45AF-AE35-1FBC2FAD8A92}" srcOrd="1" destOrd="2" presId="urn:microsoft.com/office/officeart/2005/8/layout/vProcess5"/>
    <dgm:cxn modelId="{804A2256-08F4-43B5-8A73-FFD95A70F2AE}" srcId="{618AA73A-6540-4C1C-A97E-35D983D4F683}" destId="{59120E61-92C0-47BE-8B3E-E611FD965160}" srcOrd="5" destOrd="0" parTransId="{297D80DA-DCE6-443F-B44A-526BFC41449F}" sibTransId="{A4A2452F-2897-46E2-AA08-2FBF19EBC8EC}"/>
    <dgm:cxn modelId="{C84B9878-E402-440F-881C-FD493430BBB1}" srcId="{618AA73A-6540-4C1C-A97E-35D983D4F683}" destId="{1BF8BC5C-A2B4-45B9-B0C0-C28E4DB5A8CC}" srcOrd="3" destOrd="0" parTransId="{0FD48B8E-CF74-4529-A47D-39DA4D2FFF31}" sibTransId="{433BBBF4-2C44-4406-8BD7-089611DD9CAF}"/>
    <dgm:cxn modelId="{D08FE658-00D7-4519-BF7C-CA8B643600D9}" type="presOf" srcId="{F47581CA-6EF1-4D87-95C4-6C4A3A6445A3}" destId="{6934CF4A-F756-4234-82FA-565C9456A1E1}" srcOrd="1" destOrd="2" presId="urn:microsoft.com/office/officeart/2005/8/layout/vProcess5"/>
    <dgm:cxn modelId="{C4954287-D003-41EE-B257-7BA39555D635}" srcId="{3AAF94E6-A031-43C8-A44E-1F0F2CBDE97D}" destId="{8D2EA4B5-E228-4FDD-B0D4-0BCDB8DC6255}" srcOrd="3" destOrd="0" parTransId="{A0A283B9-56A0-4139-A71F-859F840667C0}" sibTransId="{186153DE-A68D-49AF-A144-7CFE8454C03D}"/>
    <dgm:cxn modelId="{A0F80691-FD8E-474E-AB33-D100D810FB7D}" type="presOf" srcId="{6E4A0FF7-58BF-4822-B394-A4305707B72B}" destId="{A8E2C265-7A60-4DD9-A2EA-441FE0E205D0}" srcOrd="0" destOrd="6" presId="urn:microsoft.com/office/officeart/2005/8/layout/vProcess5"/>
    <dgm:cxn modelId="{89718095-F6B6-47F1-9E93-F03751772F91}" srcId="{618AA73A-6540-4C1C-A97E-35D983D4F683}" destId="{BECA8528-ED1D-43CD-9D11-0CE0AE1E4DC2}" srcOrd="4" destOrd="0" parTransId="{EED4B825-3E5F-4163-83A7-4890566B1E56}" sibTransId="{D72ED513-B64F-4010-BCC9-E8ABE664C416}"/>
    <dgm:cxn modelId="{249ED09A-6A57-4071-B987-CE06566679B0}" type="presOf" srcId="{8D2EA4B5-E228-4FDD-B0D4-0BCDB8DC6255}" destId="{A8E2C265-7A60-4DD9-A2EA-441FE0E205D0}" srcOrd="0" destOrd="4" presId="urn:microsoft.com/office/officeart/2005/8/layout/vProcess5"/>
    <dgm:cxn modelId="{DA8ADD9B-DE9B-4C31-ADCB-BE05337ACEF3}" type="presOf" srcId="{09864CF7-8E74-4B68-9F7D-02E3FDDABA60}" destId="{6934CF4A-F756-4234-82FA-565C9456A1E1}" srcOrd="1" destOrd="1" presId="urn:microsoft.com/office/officeart/2005/8/layout/vProcess5"/>
    <dgm:cxn modelId="{B7DFA89C-A746-489B-937A-B7F5BE78E2F6}" type="presOf" srcId="{B548C117-A0E3-4664-8CF9-CAE966AAE680}" destId="{A1B286F8-BC46-4300-A3C4-95F8D4CA43B7}" srcOrd="0" destOrd="1" presId="urn:microsoft.com/office/officeart/2005/8/layout/vProcess5"/>
    <dgm:cxn modelId="{8AC441A6-4492-484C-BEF8-A9B109217C20}" srcId="{BECA8528-ED1D-43CD-9D11-0CE0AE1E4DC2}" destId="{1633B68E-6199-4E78-AE03-209384145D47}" srcOrd="1" destOrd="0" parTransId="{25AF59E2-B1F5-439A-85D6-2D5DF448D6F5}" sibTransId="{0A30AD1E-26E4-48B8-91FC-23DA1AB18818}"/>
    <dgm:cxn modelId="{544956A7-AA4C-41D8-BEA6-997CC96614F9}" srcId="{618AA73A-6540-4C1C-A97E-35D983D4F683}" destId="{0C252D2E-7723-4AC5-AB7A-92E64A15C0B0}" srcOrd="2" destOrd="0" parTransId="{06FA6CF2-DF06-4D68-AA06-1264551ACDD1}" sibTransId="{12423F8F-D109-4839-A510-22D04F2A8D9D}"/>
    <dgm:cxn modelId="{5D1985AD-B14C-4F33-8F65-1481B28A1C23}" srcId="{59120E61-92C0-47BE-8B3E-E611FD965160}" destId="{2C69BC88-E024-4E75-857A-A181251087B4}" srcOrd="0" destOrd="0" parTransId="{27B10205-EABE-40C6-8D9B-3532EACBC170}" sibTransId="{F842B87B-2AB6-4BAD-B455-888D16473E32}"/>
    <dgm:cxn modelId="{14D670B7-7AA3-4D87-B245-CFE6370FB61D}" type="presOf" srcId="{433BBBF4-2C44-4406-8BD7-089611DD9CAF}" destId="{45A00E82-08F9-4A21-AC37-B0763978E784}" srcOrd="0" destOrd="0" presId="urn:microsoft.com/office/officeart/2005/8/layout/vProcess5"/>
    <dgm:cxn modelId="{4B7FB9B8-BB5F-4E6D-8074-FEE2988755A6}" type="presOf" srcId="{3AAF94E6-A031-43C8-A44E-1F0F2CBDE97D}" destId="{A8E2C265-7A60-4DD9-A2EA-441FE0E205D0}" srcOrd="0" destOrd="0" presId="urn:microsoft.com/office/officeart/2005/8/layout/vProcess5"/>
    <dgm:cxn modelId="{133CF0B9-A0A1-499F-84BD-DEC095BAE0DA}" type="presOf" srcId="{BECA8528-ED1D-43CD-9D11-0CE0AE1E4DC2}" destId="{759701DF-0B3E-45AF-AE35-1FBC2FAD8A92}" srcOrd="1" destOrd="0" presId="urn:microsoft.com/office/officeart/2005/8/layout/vProcess5"/>
    <dgm:cxn modelId="{17568EBA-DB91-4260-B0B0-475AE77547FD}" type="presOf" srcId="{30549509-26BB-402C-95B0-20841BCA8927}" destId="{A8E2C265-7A60-4DD9-A2EA-441FE0E205D0}" srcOrd="0" destOrd="5" presId="urn:microsoft.com/office/officeart/2005/8/layout/vProcess5"/>
    <dgm:cxn modelId="{E75E67BC-85E1-4097-99F8-2A793C73E915}" type="presOf" srcId="{09864CF7-8E74-4B68-9F7D-02E3FDDABA60}" destId="{88911AC1-7D4D-4E2A-97D1-B67A11024550}" srcOrd="0" destOrd="1" presId="urn:microsoft.com/office/officeart/2005/8/layout/vProcess5"/>
    <dgm:cxn modelId="{97D4C4BC-AFBD-4FB9-985F-DBDD3B87215B}" type="presOf" srcId="{30549509-26BB-402C-95B0-20841BCA8927}" destId="{F7F49EB7-4380-4E60-BF34-CD64EF23F146}" srcOrd="1" destOrd="5" presId="urn:microsoft.com/office/officeart/2005/8/layout/vProcess5"/>
    <dgm:cxn modelId="{D3CF8DC2-25E4-44C5-B856-14E2A7C4A5F2}" type="presOf" srcId="{1BF8BC5C-A2B4-45B9-B0C0-C28E4DB5A8CC}" destId="{6934CF4A-F756-4234-82FA-565C9456A1E1}" srcOrd="1" destOrd="0" presId="urn:microsoft.com/office/officeart/2005/8/layout/vProcess5"/>
    <dgm:cxn modelId="{72428DC3-3DBE-4626-941B-8C8A02F6EAC0}" type="presOf" srcId="{5F7FDBB8-F0D3-4DC3-8BA4-2E2A2FD2DA9C}" destId="{A8E2C265-7A60-4DD9-A2EA-441FE0E205D0}" srcOrd="0" destOrd="1" presId="urn:microsoft.com/office/officeart/2005/8/layout/vProcess5"/>
    <dgm:cxn modelId="{AAB591C3-5C36-484B-8563-EB244E6DF267}" type="presOf" srcId="{C163EF44-EB9A-4197-BEC4-74F35C436F05}" destId="{759701DF-0B3E-45AF-AE35-1FBC2FAD8A92}" srcOrd="1" destOrd="4" presId="urn:microsoft.com/office/officeart/2005/8/layout/vProcess5"/>
    <dgm:cxn modelId="{744078C7-7956-4AB1-BFB9-D0792826A15A}" srcId="{1BF8BC5C-A2B4-45B9-B0C0-C28E4DB5A8CC}" destId="{F47581CA-6EF1-4D87-95C4-6C4A3A6445A3}" srcOrd="1" destOrd="0" parTransId="{DA570384-3162-4A4F-ACF2-DC73EA7317B0}" sibTransId="{DFB5CBF2-0E91-4985-B91E-6E49CE7C943D}"/>
    <dgm:cxn modelId="{7D25F4C8-1C3B-427E-A181-987669BF763B}" type="presOf" srcId="{7876EBF6-7582-4489-8B2F-8E8F1D54CCDF}" destId="{5E9D5D3E-FD49-4C6C-A0CB-AE9725FC8C0B}" srcOrd="0" destOrd="1" presId="urn:microsoft.com/office/officeart/2005/8/layout/vProcess5"/>
    <dgm:cxn modelId="{FAD638C9-9988-49AE-B37E-D37BFBD907CC}" srcId="{273D6A95-2663-4F6B-B08A-70765B7C0087}" destId="{A01139A3-3907-4657-9131-279F14C70E98}" srcOrd="1" destOrd="0" parTransId="{DF670894-8C92-4C48-9A8B-82672613D629}" sibTransId="{02C71345-9684-4D6F-B2B9-52A659A1FE77}"/>
    <dgm:cxn modelId="{1E6C34CB-F6A8-4FC6-9BA1-0237C09974D1}" type="presOf" srcId="{273D6A95-2663-4F6B-B08A-70765B7C0087}" destId="{3E89B482-C243-44AB-8BD4-9FC13E274540}" srcOrd="1" destOrd="0" presId="urn:microsoft.com/office/officeart/2005/8/layout/vProcess5"/>
    <dgm:cxn modelId="{7BD542CB-AB24-43FD-A9F6-197A88DE3941}" srcId="{BECA8528-ED1D-43CD-9D11-0CE0AE1E4DC2}" destId="{A11615E6-6A76-4193-B671-A6D08AD261A0}" srcOrd="2" destOrd="0" parTransId="{597D060F-3288-435F-97CC-9CB1DC11E073}" sibTransId="{76604654-13C0-4C42-A796-DA2517AE4280}"/>
    <dgm:cxn modelId="{ACDBEBCB-208E-478E-9D40-C2CF1030B4D3}" type="presOf" srcId="{BECA8528-ED1D-43CD-9D11-0CE0AE1E4DC2}" destId="{951747B2-9D39-4B41-8C14-443E2C11F673}" srcOrd="0" destOrd="0" presId="urn:microsoft.com/office/officeart/2005/8/layout/vProcess5"/>
    <dgm:cxn modelId="{047FC1CD-1EC5-4633-8A39-85C90523A6FE}" srcId="{1BF8BC5C-A2B4-45B9-B0C0-C28E4DB5A8CC}" destId="{09864CF7-8E74-4B68-9F7D-02E3FDDABA60}" srcOrd="0" destOrd="0" parTransId="{6DEB8224-942E-4E6B-93DF-6B292B5C5FCE}" sibTransId="{854F4091-EB11-44DE-84A5-609D8559937D}"/>
    <dgm:cxn modelId="{E5965BCE-B3A6-4E0E-924E-920955F204CA}" type="presOf" srcId="{AB1189ED-260D-4E78-9F56-ED46A748C971}" destId="{88911AC1-7D4D-4E2A-97D1-B67A11024550}" srcOrd="0" destOrd="3" presId="urn:microsoft.com/office/officeart/2005/8/layout/vProcess5"/>
    <dgm:cxn modelId="{3EA369CE-DFC0-4E7F-8077-2C685ABED6F0}" srcId="{618AA73A-6540-4C1C-A97E-35D983D4F683}" destId="{3AAF94E6-A031-43C8-A44E-1F0F2CBDE97D}" srcOrd="0" destOrd="0" parTransId="{19FA5B87-1B31-4711-AD4A-E07EAB86A8C4}" sibTransId="{AEE2334B-2206-4E17-A8B1-99AFDEE8F76C}"/>
    <dgm:cxn modelId="{7A36BBCE-9F05-4C52-836C-F4D2072A9D66}" type="presOf" srcId="{12F9CD88-CECE-43F0-B314-A6751A928CD5}" destId="{F7F49EB7-4380-4E60-BF34-CD64EF23F146}" srcOrd="1" destOrd="2" presId="urn:microsoft.com/office/officeart/2005/8/layout/vProcess5"/>
    <dgm:cxn modelId="{0E8A93D0-40BE-4CE2-9ACC-B212B677AAF7}" type="presOf" srcId="{A01139A3-3907-4657-9131-279F14C70E98}" destId="{3E89B482-C243-44AB-8BD4-9FC13E274540}" srcOrd="1" destOrd="2" presId="urn:microsoft.com/office/officeart/2005/8/layout/vProcess5"/>
    <dgm:cxn modelId="{61B354D2-599F-4AAF-96BA-0D2FD812A4FB}" type="presOf" srcId="{31F73A07-B017-4CB2-8400-35F7B56A6ECC}" destId="{F7F49EB7-4380-4E60-BF34-CD64EF23F146}" srcOrd="1" destOrd="3" presId="urn:microsoft.com/office/officeart/2005/8/layout/vProcess5"/>
    <dgm:cxn modelId="{DB457ED8-6C58-44D2-8D27-F3E0F4EB068C}" type="presOf" srcId="{A01139A3-3907-4657-9131-279F14C70E98}" destId="{A1B286F8-BC46-4300-A3C4-95F8D4CA43B7}" srcOrd="0" destOrd="2" presId="urn:microsoft.com/office/officeart/2005/8/layout/vProcess5"/>
    <dgm:cxn modelId="{81E1E5DE-F67F-400D-B0D7-128D151D2AAD}" srcId="{273D6A95-2663-4F6B-B08A-70765B7C0087}" destId="{B548C117-A0E3-4664-8CF9-CAE966AAE680}" srcOrd="0" destOrd="0" parTransId="{F1146545-F44A-40C5-95F8-6AEDD4870E62}" sibTransId="{814D355C-9C03-4EF0-B402-082D815CB547}"/>
    <dgm:cxn modelId="{EA6FBBE0-AB40-40B1-8A09-5A891AAC7743}" type="presOf" srcId="{31F73A07-B017-4CB2-8400-35F7B56A6ECC}" destId="{A8E2C265-7A60-4DD9-A2EA-441FE0E205D0}" srcOrd="0" destOrd="3" presId="urn:microsoft.com/office/officeart/2005/8/layout/vProcess5"/>
    <dgm:cxn modelId="{6F24D8E3-5E52-4A47-BE42-7E21E95F6BDD}" type="presOf" srcId="{C163EF44-EB9A-4197-BEC4-74F35C436F05}" destId="{951747B2-9D39-4B41-8C14-443E2C11F673}" srcOrd="0" destOrd="4" presId="urn:microsoft.com/office/officeart/2005/8/layout/vProcess5"/>
    <dgm:cxn modelId="{6FF71CE4-C11A-4816-8E93-7397B0C87CEF}" type="presOf" srcId="{618AA73A-6540-4C1C-A97E-35D983D4F683}" destId="{AD8F31B0-0641-4470-AC73-FF85DC214373}" srcOrd="0" destOrd="0" presId="urn:microsoft.com/office/officeart/2005/8/layout/vProcess5"/>
    <dgm:cxn modelId="{29487EEA-0C08-4F10-A1C1-F23FE60C7ED1}" srcId="{3AAF94E6-A031-43C8-A44E-1F0F2CBDE97D}" destId="{30549509-26BB-402C-95B0-20841BCA8927}" srcOrd="4" destOrd="0" parTransId="{62282AB3-18AA-442F-A63A-D7558216EB2E}" sibTransId="{1B5D9490-6C5E-4254-BC21-6E836D4F8F29}"/>
    <dgm:cxn modelId="{C573B5EA-4CD9-489F-8FB1-1FCA6002BB2B}" type="presOf" srcId="{13B1694B-D40C-44E9-8D15-AA49E275B526}" destId="{759701DF-0B3E-45AF-AE35-1FBC2FAD8A92}" srcOrd="1" destOrd="1" presId="urn:microsoft.com/office/officeart/2005/8/layout/vProcess5"/>
    <dgm:cxn modelId="{48CDDBEC-5DCB-45B9-8FDC-E2F795C619F9}" type="presOf" srcId="{F47581CA-6EF1-4D87-95C4-6C4A3A6445A3}" destId="{88911AC1-7D4D-4E2A-97D1-B67A11024550}" srcOrd="0" destOrd="2" presId="urn:microsoft.com/office/officeart/2005/8/layout/vProcess5"/>
    <dgm:cxn modelId="{C36BE7EC-B864-4F32-9E30-4771973CED19}" type="presOf" srcId="{12F9CD88-CECE-43F0-B314-A6751A928CD5}" destId="{A8E2C265-7A60-4DD9-A2EA-441FE0E205D0}" srcOrd="0" destOrd="2" presId="urn:microsoft.com/office/officeart/2005/8/layout/vProcess5"/>
    <dgm:cxn modelId="{10A88AEE-93E9-4F81-9E1B-8493FEE502D9}" type="presOf" srcId="{0C252D2E-7723-4AC5-AB7A-92E64A15C0B0}" destId="{5E9D5D3E-FD49-4C6C-A0CB-AE9725FC8C0B}" srcOrd="0" destOrd="0" presId="urn:microsoft.com/office/officeart/2005/8/layout/vProcess5"/>
    <dgm:cxn modelId="{1DA920F1-7146-43D1-8E45-A0C773768F53}" srcId="{273D6A95-2663-4F6B-B08A-70765B7C0087}" destId="{3D0039C0-E3A1-4A94-BC4B-898706300168}" srcOrd="2" destOrd="0" parTransId="{C94424F5-E21A-4977-8BBC-BFA2F1A369EA}" sibTransId="{24F0D32E-29A1-4036-A351-0DFDFC2FB3C4}"/>
    <dgm:cxn modelId="{5C453EF6-586E-4A56-9BA8-19CB388EE0F4}" type="presOf" srcId="{1BF8BC5C-A2B4-45B9-B0C0-C28E4DB5A8CC}" destId="{88911AC1-7D4D-4E2A-97D1-B67A11024550}" srcOrd="0" destOrd="0" presId="urn:microsoft.com/office/officeart/2005/8/layout/vProcess5"/>
    <dgm:cxn modelId="{3FA443F9-C4B3-45E3-B930-90DB1F7A7E53}" srcId="{3AAF94E6-A031-43C8-A44E-1F0F2CBDE97D}" destId="{6E4A0FF7-58BF-4822-B394-A4305707B72B}" srcOrd="5" destOrd="0" parTransId="{C8386EC0-A712-42F6-8423-0F841026AF4F}" sibTransId="{870C2924-F4FC-4C3A-90A0-BC98EEE812D7}"/>
    <dgm:cxn modelId="{95F742FD-FFBE-429A-A4E1-695761BD2519}" type="presOf" srcId="{3D0039C0-E3A1-4A94-BC4B-898706300168}" destId="{A1B286F8-BC46-4300-A3C4-95F8D4CA43B7}" srcOrd="0" destOrd="3" presId="urn:microsoft.com/office/officeart/2005/8/layout/vProcess5"/>
    <dgm:cxn modelId="{29DEC61A-1118-4EE2-B348-992236D46031}" type="presParOf" srcId="{AD8F31B0-0641-4470-AC73-FF85DC214373}" destId="{97103222-DB7F-4E96-B20C-A03F2CF5690F}" srcOrd="0" destOrd="0" presId="urn:microsoft.com/office/officeart/2005/8/layout/vProcess5"/>
    <dgm:cxn modelId="{9E4A501C-BC08-4A23-91EE-C4ED8C0475DB}" type="presParOf" srcId="{AD8F31B0-0641-4470-AC73-FF85DC214373}" destId="{A8E2C265-7A60-4DD9-A2EA-441FE0E205D0}" srcOrd="1" destOrd="0" presId="urn:microsoft.com/office/officeart/2005/8/layout/vProcess5"/>
    <dgm:cxn modelId="{721C2E3E-D86D-4DDD-B60D-1753CCE7FB70}" type="presParOf" srcId="{AD8F31B0-0641-4470-AC73-FF85DC214373}" destId="{A1B286F8-BC46-4300-A3C4-95F8D4CA43B7}" srcOrd="2" destOrd="0" presId="urn:microsoft.com/office/officeart/2005/8/layout/vProcess5"/>
    <dgm:cxn modelId="{681DAF9B-B967-4BAE-BE28-5293B809A5E3}" type="presParOf" srcId="{AD8F31B0-0641-4470-AC73-FF85DC214373}" destId="{5E9D5D3E-FD49-4C6C-A0CB-AE9725FC8C0B}" srcOrd="3" destOrd="0" presId="urn:microsoft.com/office/officeart/2005/8/layout/vProcess5"/>
    <dgm:cxn modelId="{283E8852-0971-46FD-8B85-9FA77A85E87B}" type="presParOf" srcId="{AD8F31B0-0641-4470-AC73-FF85DC214373}" destId="{88911AC1-7D4D-4E2A-97D1-B67A11024550}" srcOrd="4" destOrd="0" presId="urn:microsoft.com/office/officeart/2005/8/layout/vProcess5"/>
    <dgm:cxn modelId="{5F06CEFD-D4CB-4BA9-837E-5CD5E842F90D}" type="presParOf" srcId="{AD8F31B0-0641-4470-AC73-FF85DC214373}" destId="{951747B2-9D39-4B41-8C14-443E2C11F673}" srcOrd="5" destOrd="0" presId="urn:microsoft.com/office/officeart/2005/8/layout/vProcess5"/>
    <dgm:cxn modelId="{59B52949-1AE9-48D4-9CE9-4441CE61EA3B}" type="presParOf" srcId="{AD8F31B0-0641-4470-AC73-FF85DC214373}" destId="{80A1996D-2E40-43A7-A1AF-66CD48A06CF8}" srcOrd="6" destOrd="0" presId="urn:microsoft.com/office/officeart/2005/8/layout/vProcess5"/>
    <dgm:cxn modelId="{7E8A01BF-1623-477A-B317-22C061BDEBB9}" type="presParOf" srcId="{AD8F31B0-0641-4470-AC73-FF85DC214373}" destId="{D586CE4B-54D6-4CF2-AB19-C9505AC1F558}" srcOrd="7" destOrd="0" presId="urn:microsoft.com/office/officeart/2005/8/layout/vProcess5"/>
    <dgm:cxn modelId="{7F626F9C-DD0D-4BB7-B173-F6B587AECE2E}" type="presParOf" srcId="{AD8F31B0-0641-4470-AC73-FF85DC214373}" destId="{B06D2A5B-8DD4-4AD7-9558-4727541221A4}" srcOrd="8" destOrd="0" presId="urn:microsoft.com/office/officeart/2005/8/layout/vProcess5"/>
    <dgm:cxn modelId="{CA284BB3-4AD7-4FE5-97A4-F9125EDB6F00}" type="presParOf" srcId="{AD8F31B0-0641-4470-AC73-FF85DC214373}" destId="{45A00E82-08F9-4A21-AC37-B0763978E784}" srcOrd="9" destOrd="0" presId="urn:microsoft.com/office/officeart/2005/8/layout/vProcess5"/>
    <dgm:cxn modelId="{EF1AB1D0-52FE-4AED-B884-387F0727AD22}" type="presParOf" srcId="{AD8F31B0-0641-4470-AC73-FF85DC214373}" destId="{F7F49EB7-4380-4E60-BF34-CD64EF23F146}" srcOrd="10" destOrd="0" presId="urn:microsoft.com/office/officeart/2005/8/layout/vProcess5"/>
    <dgm:cxn modelId="{FCF49000-ABDE-4280-8437-382251D41AB2}" type="presParOf" srcId="{AD8F31B0-0641-4470-AC73-FF85DC214373}" destId="{3E89B482-C243-44AB-8BD4-9FC13E274540}" srcOrd="11" destOrd="0" presId="urn:microsoft.com/office/officeart/2005/8/layout/vProcess5"/>
    <dgm:cxn modelId="{00F548CE-12AD-473F-8D8E-E1B0B8BADC08}" type="presParOf" srcId="{AD8F31B0-0641-4470-AC73-FF85DC214373}" destId="{A86E44A4-3D14-489C-9758-56046F7286BC}" srcOrd="12" destOrd="0" presId="urn:microsoft.com/office/officeart/2005/8/layout/vProcess5"/>
    <dgm:cxn modelId="{CC119E1A-FA77-4832-8C13-057FB8382EC6}" type="presParOf" srcId="{AD8F31B0-0641-4470-AC73-FF85DC214373}" destId="{6934CF4A-F756-4234-82FA-565C9456A1E1}" srcOrd="13" destOrd="0" presId="urn:microsoft.com/office/officeart/2005/8/layout/vProcess5"/>
    <dgm:cxn modelId="{A068FC93-9AC4-4996-8DE0-395081B57DD4}" type="presParOf" srcId="{AD8F31B0-0641-4470-AC73-FF85DC214373}" destId="{759701DF-0B3E-45AF-AE35-1FBC2FAD8A92}" srcOrd="14" destOrd="0" presId="urn:microsoft.com/office/officeart/2005/8/layout/vProcess5"/>
  </dgm:cxnLst>
  <dgm:bg/>
  <dgm:whole/>
  <dgm:extLst>
    <a:ext uri="http://schemas.microsoft.com/office/drawing/2008/diagram">
      <dsp:dataModelExt xmlns:dsp="http://schemas.microsoft.com/office/drawing/2008/diagram" relId="rId58"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30CC6F17-7ABD-4944-BDA1-2C5146B57498}" type="doc">
      <dgm:prSet loTypeId="urn:microsoft.com/office/officeart/2005/8/layout/hProcess4" loCatId="process" qsTypeId="urn:microsoft.com/office/officeart/2005/8/quickstyle/simple1" qsCatId="simple" csTypeId="urn:microsoft.com/office/officeart/2005/8/colors/accent1_2" csCatId="accent1" phldr="1"/>
      <dgm:spPr/>
      <dgm:t>
        <a:bodyPr/>
        <a:lstStyle/>
        <a:p>
          <a:endParaRPr lang="en-GB"/>
        </a:p>
      </dgm:t>
    </dgm:pt>
    <dgm:pt modelId="{6B55F9C2-F144-4625-B957-DB599BAF82D8}">
      <dgm:prSet phldrT="[Text]" custT="1"/>
      <dgm:spPr>
        <a:xfrm>
          <a:off x="270807" y="1686935"/>
          <a:ext cx="1078068" cy="428712"/>
        </a:xfrm>
        <a:prstGeom prst="roundRect">
          <a:avLst>
            <a:gd name="adj" fmla="val 10000"/>
          </a:avLst>
        </a:prstGeom>
        <a:solidFill>
          <a:srgbClr val="E7E6E6">
            <a:lumMod val="2500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lv-LV" sz="1050">
              <a:solidFill>
                <a:sysClr val="window" lastClr="FFFFFF"/>
              </a:solidFill>
              <a:latin typeface="Arial" panose="020B0604020202020204" pitchFamily="34" charset="0"/>
              <a:ea typeface="+mn-ea"/>
              <a:cs typeface="Arial" panose="020B0604020202020204" pitchFamily="34" charset="0"/>
            </a:rPr>
            <a:t>Sagatavošanās</a:t>
          </a:r>
          <a:endParaRPr lang="en-GB" sz="1050">
            <a:solidFill>
              <a:sysClr val="window" lastClr="FFFFFF"/>
            </a:solidFill>
            <a:latin typeface="Arial" panose="020B0604020202020204" pitchFamily="34" charset="0"/>
            <a:ea typeface="+mn-ea"/>
            <a:cs typeface="Arial" panose="020B0604020202020204" pitchFamily="34" charset="0"/>
          </a:endParaRPr>
        </a:p>
      </dgm:t>
    </dgm:pt>
    <dgm:pt modelId="{D23011D8-97F1-411A-8EF8-42672531FD18}" type="parTrans" cxnId="{8A502ED7-6B99-4ADA-BA10-77CC86CFBBCC}">
      <dgm:prSet/>
      <dgm:spPr/>
      <dgm:t>
        <a:bodyPr/>
        <a:lstStyle/>
        <a:p>
          <a:endParaRPr lang="en-GB" sz="1200">
            <a:latin typeface="Arial" panose="020B0604020202020204" pitchFamily="34" charset="0"/>
            <a:cs typeface="Arial" panose="020B0604020202020204" pitchFamily="34" charset="0"/>
          </a:endParaRPr>
        </a:p>
      </dgm:t>
    </dgm:pt>
    <dgm:pt modelId="{8CE8706C-96A6-4C26-A4A8-37009F7D874F}" type="sibTrans" cxnId="{8A502ED7-6B99-4ADA-BA10-77CC86CFBBCC}">
      <dgm:prSet/>
      <dgm:spPr>
        <a:xfrm rot="21421035">
          <a:off x="656684" y="957063"/>
          <a:ext cx="1588836" cy="1588836"/>
        </a:xfrm>
        <a:prstGeom prst="leftCircularArrow">
          <a:avLst>
            <a:gd name="adj1" fmla="val 3310"/>
            <a:gd name="adj2" fmla="val 408805"/>
            <a:gd name="adj3" fmla="val 2184315"/>
            <a:gd name="adj4" fmla="val 9024489"/>
            <a:gd name="adj5" fmla="val 3861"/>
          </a:avLst>
        </a:prstGeom>
        <a:solidFill>
          <a:srgbClr val="4472C4">
            <a:tint val="60000"/>
            <a:hueOff val="0"/>
            <a:satOff val="0"/>
            <a:lumOff val="0"/>
            <a:alphaOff val="0"/>
          </a:srgbClr>
        </a:solidFill>
        <a:ln>
          <a:noFill/>
        </a:ln>
        <a:effectLst/>
      </dgm:spPr>
      <dgm:t>
        <a:bodyPr/>
        <a:lstStyle/>
        <a:p>
          <a:endParaRPr lang="en-GB" sz="1200">
            <a:latin typeface="Arial" panose="020B0604020202020204" pitchFamily="34" charset="0"/>
            <a:cs typeface="Arial" panose="020B0604020202020204" pitchFamily="34" charset="0"/>
          </a:endParaRPr>
        </a:p>
      </dgm:t>
    </dgm:pt>
    <dgm:pt modelId="{23D95059-725E-46DD-87B3-EDE7A0E82365}">
      <dgm:prSet phldrT="[Text]" custT="1"/>
      <dgm:spPr>
        <a:xfrm>
          <a:off x="1290" y="900963"/>
          <a:ext cx="1212826" cy="1000328"/>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Char char="•"/>
          </a:pPr>
          <a:r>
            <a:rPr lang="lv-LV" sz="11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Konsultācijas</a:t>
          </a:r>
          <a:endParaRPr lang="en-GB" sz="11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endParaRPr>
        </a:p>
      </dgm:t>
    </dgm:pt>
    <dgm:pt modelId="{AC187B9F-797D-4588-B8E5-4F0DAC316B2B}" type="parTrans" cxnId="{52F41829-8284-49C2-8C53-39AB89C6BCAD}">
      <dgm:prSet/>
      <dgm:spPr/>
      <dgm:t>
        <a:bodyPr/>
        <a:lstStyle/>
        <a:p>
          <a:endParaRPr lang="en-GB" sz="1200">
            <a:latin typeface="Arial" panose="020B0604020202020204" pitchFamily="34" charset="0"/>
            <a:cs typeface="Arial" panose="020B0604020202020204" pitchFamily="34" charset="0"/>
          </a:endParaRPr>
        </a:p>
      </dgm:t>
    </dgm:pt>
    <dgm:pt modelId="{75E4D2FD-1C2A-4FCA-8291-324F8E6642AB}" type="sibTrans" cxnId="{52F41829-8284-49C2-8C53-39AB89C6BCAD}">
      <dgm:prSet/>
      <dgm:spPr/>
      <dgm:t>
        <a:bodyPr/>
        <a:lstStyle/>
        <a:p>
          <a:endParaRPr lang="en-GB" sz="1200">
            <a:latin typeface="Arial" panose="020B0604020202020204" pitchFamily="34" charset="0"/>
            <a:cs typeface="Arial" panose="020B0604020202020204" pitchFamily="34" charset="0"/>
          </a:endParaRPr>
        </a:p>
      </dgm:t>
    </dgm:pt>
    <dgm:pt modelId="{EE385CF1-4824-499C-93DE-B6127A6405F3}">
      <dgm:prSet phldrT="[Text]" custT="1"/>
      <dgm:spPr>
        <a:xfrm>
          <a:off x="2018246" y="686607"/>
          <a:ext cx="1078068" cy="428712"/>
        </a:xfrm>
        <a:prstGeom prst="roundRect">
          <a:avLst>
            <a:gd name="adj" fmla="val 10000"/>
          </a:avLst>
        </a:prstGeom>
        <a:solidFill>
          <a:srgbClr val="E7E6E6">
            <a:lumMod val="2500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lv-LV" sz="1050">
              <a:solidFill>
                <a:sysClr val="window" lastClr="FFFFFF"/>
              </a:solidFill>
              <a:latin typeface="Arial" panose="020B0604020202020204" pitchFamily="34" charset="0"/>
              <a:ea typeface="+mn-ea"/>
              <a:cs typeface="Arial" panose="020B0604020202020204" pitchFamily="34" charset="0"/>
            </a:rPr>
            <a:t>Izvērtēšana</a:t>
          </a:r>
          <a:endParaRPr lang="en-GB" sz="700">
            <a:solidFill>
              <a:sysClr val="window" lastClr="FFFFFF"/>
            </a:solidFill>
            <a:latin typeface="Arial" panose="020B0604020202020204" pitchFamily="34" charset="0"/>
            <a:ea typeface="+mn-ea"/>
            <a:cs typeface="Arial" panose="020B0604020202020204" pitchFamily="34" charset="0"/>
          </a:endParaRPr>
        </a:p>
      </dgm:t>
    </dgm:pt>
    <dgm:pt modelId="{1BF2D3A9-11EE-41E4-84AA-E5F7409917E8}" type="parTrans" cxnId="{367620AE-8BE4-4EA7-9BEC-D67D70CC1B6D}">
      <dgm:prSet/>
      <dgm:spPr/>
      <dgm:t>
        <a:bodyPr/>
        <a:lstStyle/>
        <a:p>
          <a:endParaRPr lang="en-GB" sz="1200">
            <a:latin typeface="Arial" panose="020B0604020202020204" pitchFamily="34" charset="0"/>
            <a:cs typeface="Arial" panose="020B0604020202020204" pitchFamily="34" charset="0"/>
          </a:endParaRPr>
        </a:p>
      </dgm:t>
    </dgm:pt>
    <dgm:pt modelId="{BD40FE0D-6FF0-4439-86A7-BB4E6ADF558D}" type="sibTrans" cxnId="{367620AE-8BE4-4EA7-9BEC-D67D70CC1B6D}">
      <dgm:prSet/>
      <dgm:spPr>
        <a:xfrm rot="313537">
          <a:off x="2416377" y="102807"/>
          <a:ext cx="1860903" cy="1860903"/>
        </a:xfrm>
        <a:prstGeom prst="circularArrow">
          <a:avLst>
            <a:gd name="adj1" fmla="val 2826"/>
            <a:gd name="adj2" fmla="val 345080"/>
            <a:gd name="adj3" fmla="val 19479409"/>
            <a:gd name="adj4" fmla="val 12575511"/>
            <a:gd name="adj5" fmla="val 3297"/>
          </a:avLst>
        </a:prstGeom>
        <a:solidFill>
          <a:srgbClr val="4472C4">
            <a:tint val="60000"/>
            <a:hueOff val="0"/>
            <a:satOff val="0"/>
            <a:lumOff val="0"/>
            <a:alphaOff val="0"/>
          </a:srgbClr>
        </a:solidFill>
        <a:ln>
          <a:noFill/>
        </a:ln>
        <a:effectLst/>
      </dgm:spPr>
      <dgm:t>
        <a:bodyPr/>
        <a:lstStyle/>
        <a:p>
          <a:endParaRPr lang="en-GB" sz="1200">
            <a:latin typeface="Arial" panose="020B0604020202020204" pitchFamily="34" charset="0"/>
            <a:cs typeface="Arial" panose="020B0604020202020204" pitchFamily="34" charset="0"/>
          </a:endParaRPr>
        </a:p>
      </dgm:t>
    </dgm:pt>
    <dgm:pt modelId="{7222ACE2-5AFB-4C94-86BC-C9A61316E41E}">
      <dgm:prSet phldrT="[Text]" custT="1"/>
      <dgm:spPr>
        <a:xfrm>
          <a:off x="1599284" y="900963"/>
          <a:ext cx="1511715" cy="1000328"/>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Char char="•"/>
          </a:pPr>
          <a:r>
            <a:rPr lang="lv-LV" sz="11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Kompetence</a:t>
          </a:r>
          <a:endParaRPr lang="en-GB" sz="11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endParaRPr>
        </a:p>
      </dgm:t>
    </dgm:pt>
    <dgm:pt modelId="{AEA0AED3-DF78-4D2A-AA37-16EA92FA7C81}" type="parTrans" cxnId="{BF0B4D36-2E9E-4A40-B4B1-C68334EB6708}">
      <dgm:prSet/>
      <dgm:spPr/>
      <dgm:t>
        <a:bodyPr/>
        <a:lstStyle/>
        <a:p>
          <a:endParaRPr lang="en-GB" sz="1200">
            <a:latin typeface="Arial" panose="020B0604020202020204" pitchFamily="34" charset="0"/>
            <a:cs typeface="Arial" panose="020B0604020202020204" pitchFamily="34" charset="0"/>
          </a:endParaRPr>
        </a:p>
      </dgm:t>
    </dgm:pt>
    <dgm:pt modelId="{42528BBC-BF8C-4B1B-BE06-ED129238008B}" type="sibTrans" cxnId="{BF0B4D36-2E9E-4A40-B4B1-C68334EB6708}">
      <dgm:prSet/>
      <dgm:spPr/>
      <dgm:t>
        <a:bodyPr/>
        <a:lstStyle/>
        <a:p>
          <a:endParaRPr lang="en-GB" sz="1200">
            <a:latin typeface="Arial" panose="020B0604020202020204" pitchFamily="34" charset="0"/>
            <a:cs typeface="Arial" panose="020B0604020202020204" pitchFamily="34" charset="0"/>
          </a:endParaRPr>
        </a:p>
      </dgm:t>
    </dgm:pt>
    <dgm:pt modelId="{5E43F6AB-8DE3-4D13-8843-CA15FFC9B5CE}">
      <dgm:prSet phldrT="[Text]" custT="1"/>
      <dgm:spPr>
        <a:xfrm>
          <a:off x="1599284" y="900963"/>
          <a:ext cx="1511715" cy="1000328"/>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Char char="•"/>
          </a:pPr>
          <a:r>
            <a:rPr lang="lv-LV" sz="11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Atgriezeniskā saite</a:t>
          </a:r>
          <a:endParaRPr lang="en-GB" sz="11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endParaRPr>
        </a:p>
      </dgm:t>
    </dgm:pt>
    <dgm:pt modelId="{D6C0686D-07C8-4654-B096-05D29B3B3FAF}" type="parTrans" cxnId="{8693CD38-7ADA-40FD-8808-E87C25A7E30C}">
      <dgm:prSet/>
      <dgm:spPr/>
      <dgm:t>
        <a:bodyPr/>
        <a:lstStyle/>
        <a:p>
          <a:endParaRPr lang="en-GB" sz="1200">
            <a:latin typeface="Arial" panose="020B0604020202020204" pitchFamily="34" charset="0"/>
            <a:cs typeface="Arial" panose="020B0604020202020204" pitchFamily="34" charset="0"/>
          </a:endParaRPr>
        </a:p>
      </dgm:t>
    </dgm:pt>
    <dgm:pt modelId="{85770786-B468-4B71-8FEC-C006A14D87BA}" type="sibTrans" cxnId="{8693CD38-7ADA-40FD-8808-E87C25A7E30C}">
      <dgm:prSet/>
      <dgm:spPr/>
      <dgm:t>
        <a:bodyPr/>
        <a:lstStyle/>
        <a:p>
          <a:endParaRPr lang="en-GB" sz="1200">
            <a:latin typeface="Arial" panose="020B0604020202020204" pitchFamily="34" charset="0"/>
            <a:cs typeface="Arial" panose="020B0604020202020204" pitchFamily="34" charset="0"/>
          </a:endParaRPr>
        </a:p>
      </dgm:t>
    </dgm:pt>
    <dgm:pt modelId="{1A5B6F3C-F912-47B9-882B-07F80FD63A96}">
      <dgm:prSet phldrT="[Text]" custT="1"/>
      <dgm:spPr>
        <a:xfrm>
          <a:off x="4000853" y="1839334"/>
          <a:ext cx="1078068" cy="428712"/>
        </a:xfrm>
        <a:prstGeom prst="roundRect">
          <a:avLst>
            <a:gd name="adj" fmla="val 10000"/>
          </a:avLst>
        </a:prstGeom>
        <a:solidFill>
          <a:srgbClr val="E7E6E6">
            <a:lumMod val="2500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lv-LV" sz="1050">
              <a:solidFill>
                <a:sysClr val="window" lastClr="FFFFFF"/>
              </a:solidFill>
              <a:latin typeface="Arial" panose="020B0604020202020204" pitchFamily="34" charset="0"/>
              <a:ea typeface="+mn-ea"/>
              <a:cs typeface="Arial" panose="020B0604020202020204" pitchFamily="34" charset="0"/>
            </a:rPr>
            <a:t>Realizācija</a:t>
          </a:r>
          <a:endParaRPr lang="en-GB" sz="1000">
            <a:solidFill>
              <a:sysClr val="window" lastClr="FFFFFF"/>
            </a:solidFill>
            <a:latin typeface="Arial" panose="020B0604020202020204" pitchFamily="34" charset="0"/>
            <a:ea typeface="+mn-ea"/>
            <a:cs typeface="Arial" panose="020B0604020202020204" pitchFamily="34" charset="0"/>
          </a:endParaRPr>
        </a:p>
      </dgm:t>
    </dgm:pt>
    <dgm:pt modelId="{AFB6AD19-C77D-4F6E-9472-DB5CBAAED907}" type="parTrans" cxnId="{61E4B558-B529-4BEC-B721-D4806A156B6C}">
      <dgm:prSet/>
      <dgm:spPr/>
      <dgm:t>
        <a:bodyPr/>
        <a:lstStyle/>
        <a:p>
          <a:endParaRPr lang="en-GB" sz="1200">
            <a:latin typeface="Arial" panose="020B0604020202020204" pitchFamily="34" charset="0"/>
            <a:cs typeface="Arial" panose="020B0604020202020204" pitchFamily="34" charset="0"/>
          </a:endParaRPr>
        </a:p>
      </dgm:t>
    </dgm:pt>
    <dgm:pt modelId="{B128F4B8-81D0-46B2-BD51-2AB865275E4E}" type="sibTrans" cxnId="{61E4B558-B529-4BEC-B721-D4806A156B6C}">
      <dgm:prSet/>
      <dgm:spPr>
        <a:xfrm rot="21365857">
          <a:off x="4376182" y="1097622"/>
          <a:ext cx="1579244" cy="1579244"/>
        </a:xfrm>
        <a:prstGeom prst="leftCircularArrow">
          <a:avLst>
            <a:gd name="adj1" fmla="val 3330"/>
            <a:gd name="adj2" fmla="val 411484"/>
            <a:gd name="adj3" fmla="val 2083552"/>
            <a:gd name="adj4" fmla="val 8921047"/>
            <a:gd name="adj5" fmla="val 3885"/>
          </a:avLst>
        </a:prstGeom>
        <a:solidFill>
          <a:srgbClr val="4472C4">
            <a:tint val="60000"/>
            <a:hueOff val="0"/>
            <a:satOff val="0"/>
            <a:lumOff val="0"/>
            <a:alphaOff val="0"/>
          </a:srgbClr>
        </a:solidFill>
        <a:ln>
          <a:noFill/>
        </a:ln>
        <a:effectLst/>
      </dgm:spPr>
      <dgm:t>
        <a:bodyPr/>
        <a:lstStyle/>
        <a:p>
          <a:endParaRPr lang="en-GB" sz="1200">
            <a:latin typeface="Arial" panose="020B0604020202020204" pitchFamily="34" charset="0"/>
            <a:cs typeface="Arial" panose="020B0604020202020204" pitchFamily="34" charset="0"/>
          </a:endParaRPr>
        </a:p>
      </dgm:t>
    </dgm:pt>
    <dgm:pt modelId="{537730C9-34EF-42A5-863C-470D68E99F3D}">
      <dgm:prSet phldrT="[Text]" custT="1"/>
      <dgm:spPr>
        <a:xfrm>
          <a:off x="3361410" y="900963"/>
          <a:ext cx="1685986" cy="1000328"/>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Char char="•"/>
          </a:pPr>
          <a:r>
            <a:rPr lang="lv-LV" sz="11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Uzraudzība</a:t>
          </a:r>
          <a:endParaRPr lang="en-GB" sz="11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endParaRPr>
        </a:p>
      </dgm:t>
    </dgm:pt>
    <dgm:pt modelId="{FDC6EFEF-912F-40E7-BA88-83A28CEDD228}" type="parTrans" cxnId="{365DFCE0-A20F-404B-BBE7-990711F89CB4}">
      <dgm:prSet/>
      <dgm:spPr/>
      <dgm:t>
        <a:bodyPr/>
        <a:lstStyle/>
        <a:p>
          <a:endParaRPr lang="en-GB" sz="1200">
            <a:latin typeface="Arial" panose="020B0604020202020204" pitchFamily="34" charset="0"/>
            <a:cs typeface="Arial" panose="020B0604020202020204" pitchFamily="34" charset="0"/>
          </a:endParaRPr>
        </a:p>
      </dgm:t>
    </dgm:pt>
    <dgm:pt modelId="{B33DE1A6-B158-43B4-B30D-587D867E9D54}" type="sibTrans" cxnId="{365DFCE0-A20F-404B-BBE7-990711F89CB4}">
      <dgm:prSet/>
      <dgm:spPr/>
      <dgm:t>
        <a:bodyPr/>
        <a:lstStyle/>
        <a:p>
          <a:endParaRPr lang="en-GB" sz="1200">
            <a:latin typeface="Arial" panose="020B0604020202020204" pitchFamily="34" charset="0"/>
            <a:cs typeface="Arial" panose="020B0604020202020204" pitchFamily="34" charset="0"/>
          </a:endParaRPr>
        </a:p>
      </dgm:t>
    </dgm:pt>
    <dgm:pt modelId="{86D8A9F8-1DEA-4CE2-877F-EF042AE693A0}">
      <dgm:prSet phldrT="[Text]" custT="1"/>
      <dgm:spPr>
        <a:xfrm>
          <a:off x="3361410" y="900963"/>
          <a:ext cx="1685986" cy="1000328"/>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Char char="•"/>
          </a:pPr>
          <a:r>
            <a:rPr lang="lv-LV" sz="11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Konsultācijas</a:t>
          </a:r>
          <a:endParaRPr lang="en-GB" sz="11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endParaRPr>
        </a:p>
      </dgm:t>
    </dgm:pt>
    <dgm:pt modelId="{78C11D2B-5175-4868-80A0-4717A4A4AF16}" type="parTrans" cxnId="{5EAF24A0-B6E0-4723-A876-79AFE15430C5}">
      <dgm:prSet/>
      <dgm:spPr/>
      <dgm:t>
        <a:bodyPr/>
        <a:lstStyle/>
        <a:p>
          <a:endParaRPr lang="en-GB" sz="1200">
            <a:latin typeface="Arial" panose="020B0604020202020204" pitchFamily="34" charset="0"/>
            <a:cs typeface="Arial" panose="020B0604020202020204" pitchFamily="34" charset="0"/>
          </a:endParaRPr>
        </a:p>
      </dgm:t>
    </dgm:pt>
    <dgm:pt modelId="{79EF52B3-9C0B-4E33-8EB8-D399AEE54474}" type="sibTrans" cxnId="{5EAF24A0-B6E0-4723-A876-79AFE15430C5}">
      <dgm:prSet/>
      <dgm:spPr/>
      <dgm:t>
        <a:bodyPr/>
        <a:lstStyle/>
        <a:p>
          <a:endParaRPr lang="en-GB" sz="1200">
            <a:latin typeface="Arial" panose="020B0604020202020204" pitchFamily="34" charset="0"/>
            <a:cs typeface="Arial" panose="020B0604020202020204" pitchFamily="34" charset="0"/>
          </a:endParaRPr>
        </a:p>
      </dgm:t>
    </dgm:pt>
    <dgm:pt modelId="{CCA1C8B9-9AFA-4B9C-9CD9-E676845CAC91}">
      <dgm:prSet phldrT="[Text]" custT="1"/>
      <dgm:spPr>
        <a:xfrm>
          <a:off x="1290" y="900963"/>
          <a:ext cx="1212826" cy="1000328"/>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Char char="•"/>
          </a:pPr>
          <a:r>
            <a:rPr lang="lv-LV" sz="105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Ekspertīze</a:t>
          </a:r>
          <a:endParaRPr lang="en-GB" sz="11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endParaRPr>
        </a:p>
      </dgm:t>
    </dgm:pt>
    <dgm:pt modelId="{4BC2B6F1-BF71-421F-AEA2-05837726DDD2}" type="parTrans" cxnId="{166A6AA1-EA43-4630-A546-055AA57EFC86}">
      <dgm:prSet/>
      <dgm:spPr/>
      <dgm:t>
        <a:bodyPr/>
        <a:lstStyle/>
        <a:p>
          <a:endParaRPr lang="en-GB" sz="1200">
            <a:latin typeface="Arial" panose="020B0604020202020204" pitchFamily="34" charset="0"/>
            <a:cs typeface="Arial" panose="020B0604020202020204" pitchFamily="34" charset="0"/>
          </a:endParaRPr>
        </a:p>
      </dgm:t>
    </dgm:pt>
    <dgm:pt modelId="{03887BFA-2C4B-453B-8827-776BDEB5B569}" type="sibTrans" cxnId="{166A6AA1-EA43-4630-A546-055AA57EFC86}">
      <dgm:prSet/>
      <dgm:spPr/>
      <dgm:t>
        <a:bodyPr/>
        <a:lstStyle/>
        <a:p>
          <a:endParaRPr lang="en-GB" sz="1200">
            <a:latin typeface="Arial" panose="020B0604020202020204" pitchFamily="34" charset="0"/>
            <a:cs typeface="Arial" panose="020B0604020202020204" pitchFamily="34" charset="0"/>
          </a:endParaRPr>
        </a:p>
      </dgm:t>
    </dgm:pt>
    <dgm:pt modelId="{89D6451A-0395-4AA8-8083-84C0A11ACD0A}">
      <dgm:prSet phldrT="[Text]" custT="1"/>
      <dgm:spPr>
        <a:xfrm>
          <a:off x="1290" y="900963"/>
          <a:ext cx="1212826" cy="1000328"/>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Char char="•"/>
          </a:pPr>
          <a:r>
            <a:rPr lang="lv-LV" sz="11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Pieredze</a:t>
          </a:r>
          <a:endParaRPr lang="en-GB" sz="11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endParaRPr>
        </a:p>
      </dgm:t>
    </dgm:pt>
    <dgm:pt modelId="{4BDC9763-082D-4ED1-B342-06DBDEA1CB11}" type="parTrans" cxnId="{A26E2219-0DE6-47D7-884C-FA62ED96FF9E}">
      <dgm:prSet/>
      <dgm:spPr/>
      <dgm:t>
        <a:bodyPr/>
        <a:lstStyle/>
        <a:p>
          <a:endParaRPr lang="en-GB" sz="1200">
            <a:latin typeface="Arial" panose="020B0604020202020204" pitchFamily="34" charset="0"/>
            <a:cs typeface="Arial" panose="020B0604020202020204" pitchFamily="34" charset="0"/>
          </a:endParaRPr>
        </a:p>
      </dgm:t>
    </dgm:pt>
    <dgm:pt modelId="{88E0AA55-C53D-4A18-8FCF-FE5B475157A3}" type="sibTrans" cxnId="{A26E2219-0DE6-47D7-884C-FA62ED96FF9E}">
      <dgm:prSet/>
      <dgm:spPr/>
      <dgm:t>
        <a:bodyPr/>
        <a:lstStyle/>
        <a:p>
          <a:endParaRPr lang="en-GB" sz="1200">
            <a:latin typeface="Arial" panose="020B0604020202020204" pitchFamily="34" charset="0"/>
            <a:cs typeface="Arial" panose="020B0604020202020204" pitchFamily="34" charset="0"/>
          </a:endParaRPr>
        </a:p>
      </dgm:t>
    </dgm:pt>
    <dgm:pt modelId="{2375711B-2D39-4594-89F5-9CB64FF10A12}">
      <dgm:prSet phldrT="[Text]" custT="1"/>
      <dgm:spPr>
        <a:xfrm>
          <a:off x="1599284" y="900963"/>
          <a:ext cx="1511715" cy="1000328"/>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Char char="•"/>
          </a:pPr>
          <a:r>
            <a:rPr lang="lv-LV" sz="11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Ieteikumi</a:t>
          </a:r>
          <a:endParaRPr lang="en-GB" sz="11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endParaRPr>
        </a:p>
      </dgm:t>
    </dgm:pt>
    <dgm:pt modelId="{228553A1-A3FC-45DF-ABEC-0CCD1E19437F}" type="parTrans" cxnId="{D602C0B8-0AAF-413F-A27E-D2A0043F3CAB}">
      <dgm:prSet/>
      <dgm:spPr/>
      <dgm:t>
        <a:bodyPr/>
        <a:lstStyle/>
        <a:p>
          <a:endParaRPr lang="en-GB" sz="1200">
            <a:latin typeface="Arial" panose="020B0604020202020204" pitchFamily="34" charset="0"/>
            <a:cs typeface="Arial" panose="020B0604020202020204" pitchFamily="34" charset="0"/>
          </a:endParaRPr>
        </a:p>
      </dgm:t>
    </dgm:pt>
    <dgm:pt modelId="{4EE6D6E7-AEEC-4277-A1A5-5EFE65ADD4F7}" type="sibTrans" cxnId="{D602C0B8-0AAF-413F-A27E-D2A0043F3CAB}">
      <dgm:prSet/>
      <dgm:spPr/>
      <dgm:t>
        <a:bodyPr/>
        <a:lstStyle/>
        <a:p>
          <a:endParaRPr lang="en-GB" sz="1200">
            <a:latin typeface="Arial" panose="020B0604020202020204" pitchFamily="34" charset="0"/>
            <a:cs typeface="Arial" panose="020B0604020202020204" pitchFamily="34" charset="0"/>
          </a:endParaRPr>
        </a:p>
      </dgm:t>
    </dgm:pt>
    <dgm:pt modelId="{F3850614-8A23-49AF-B52E-160C3E3B58C2}">
      <dgm:prSet phldrT="[Text]" custT="1"/>
      <dgm:spPr>
        <a:xfrm>
          <a:off x="5748616" y="685630"/>
          <a:ext cx="1078068" cy="428712"/>
        </a:xfrm>
        <a:prstGeom prst="roundRect">
          <a:avLst>
            <a:gd name="adj" fmla="val 10000"/>
          </a:avLst>
        </a:prstGeom>
        <a:solidFill>
          <a:srgbClr val="44546A"/>
        </a:solidFill>
        <a:ln w="12700" cap="flat" cmpd="sng" algn="ctr">
          <a:solidFill>
            <a:sysClr val="window" lastClr="FFFFFF">
              <a:hueOff val="0"/>
              <a:satOff val="0"/>
              <a:lumOff val="0"/>
              <a:alphaOff val="0"/>
            </a:sysClr>
          </a:solidFill>
          <a:prstDash val="solid"/>
          <a:miter lim="800000"/>
        </a:ln>
        <a:effectLst/>
      </dgm:spPr>
      <dgm:t>
        <a:bodyPr/>
        <a:lstStyle/>
        <a:p>
          <a:pPr>
            <a:buNone/>
          </a:pPr>
          <a:r>
            <a:rPr lang="lv-LV" sz="1050">
              <a:solidFill>
                <a:sysClr val="window" lastClr="FFFFFF"/>
              </a:solidFill>
              <a:latin typeface="Arial" panose="020B0604020202020204" pitchFamily="34" charset="0"/>
              <a:ea typeface="+mn-ea"/>
              <a:cs typeface="Arial" panose="020B0604020202020204" pitchFamily="34" charset="0"/>
            </a:rPr>
            <a:t>Rezultāts</a:t>
          </a:r>
          <a:endParaRPr lang="en-GB" sz="700">
            <a:solidFill>
              <a:sysClr val="window" lastClr="FFFFFF"/>
            </a:solidFill>
            <a:latin typeface="Arial" panose="020B0604020202020204" pitchFamily="34" charset="0"/>
            <a:ea typeface="+mn-ea"/>
            <a:cs typeface="Arial" panose="020B0604020202020204" pitchFamily="34" charset="0"/>
          </a:endParaRPr>
        </a:p>
      </dgm:t>
    </dgm:pt>
    <dgm:pt modelId="{32A8BF0F-A1AF-4F80-989A-8EB5F8B8BA67}" type="parTrans" cxnId="{24D1F2C6-DC7C-4B84-BF8B-8D44E44F5B88}">
      <dgm:prSet/>
      <dgm:spPr/>
      <dgm:t>
        <a:bodyPr/>
        <a:lstStyle/>
        <a:p>
          <a:endParaRPr lang="en-GB" sz="1200"/>
        </a:p>
      </dgm:t>
    </dgm:pt>
    <dgm:pt modelId="{47252765-87B6-44F4-AD10-25C78200EBDE}" type="sibTrans" cxnId="{24D1F2C6-DC7C-4B84-BF8B-8D44E44F5B88}">
      <dgm:prSet/>
      <dgm:spPr/>
      <dgm:t>
        <a:bodyPr/>
        <a:lstStyle/>
        <a:p>
          <a:endParaRPr lang="en-GB" sz="1200"/>
        </a:p>
      </dgm:t>
    </dgm:pt>
    <dgm:pt modelId="{976EB5EE-7A8E-4DBF-92F0-8970327A9FAD}">
      <dgm:prSet phldrT="[Text]" custT="1"/>
      <dgm:spPr>
        <a:xfrm>
          <a:off x="5288564" y="876293"/>
          <a:ext cx="1575413" cy="1273888"/>
        </a:xfrm>
        <a:prstGeom prst="roundRect">
          <a:avLst>
            <a:gd name="adj" fmla="val 10000"/>
          </a:avLst>
        </a:prstGeom>
        <a:solidFill>
          <a:sysClr val="window" lastClr="FFFFFF"/>
        </a:solidFill>
        <a:ln w="12700" cap="flat" cmpd="sng" algn="ctr">
          <a:solidFill>
            <a:srgbClr val="4472C4">
              <a:hueOff val="0"/>
              <a:satOff val="0"/>
              <a:lumOff val="0"/>
              <a:alphaOff val="0"/>
            </a:srgbClr>
          </a:solidFill>
          <a:prstDash val="solid"/>
          <a:miter lim="800000"/>
        </a:ln>
        <a:effectLst/>
      </dgm:spPr>
      <dgm:t>
        <a:bodyPr/>
        <a:lstStyle/>
        <a:p>
          <a:pPr>
            <a:buChar char="•"/>
          </a:pPr>
          <a:r>
            <a:rPr lang="lv-LV" sz="11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Jauni produkti vai tehnoloģijas</a:t>
          </a:r>
          <a:endParaRPr lang="en-GB" sz="11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endParaRPr>
        </a:p>
      </dgm:t>
    </dgm:pt>
    <dgm:pt modelId="{59B583BC-267C-420E-92CB-605E40B0408B}" type="parTrans" cxnId="{60E64E05-D5E9-4CD5-8A25-A062772E9D42}">
      <dgm:prSet/>
      <dgm:spPr/>
      <dgm:t>
        <a:bodyPr/>
        <a:lstStyle/>
        <a:p>
          <a:endParaRPr lang="en-GB" sz="1200"/>
        </a:p>
      </dgm:t>
    </dgm:pt>
    <dgm:pt modelId="{189BBD4B-8DCF-4730-8921-440042D12DDE}" type="sibTrans" cxnId="{60E64E05-D5E9-4CD5-8A25-A062772E9D42}">
      <dgm:prSet/>
      <dgm:spPr/>
      <dgm:t>
        <a:bodyPr/>
        <a:lstStyle/>
        <a:p>
          <a:endParaRPr lang="en-GB" sz="1200"/>
        </a:p>
      </dgm:t>
    </dgm:pt>
    <dgm:pt modelId="{540301C2-0EA9-4983-8014-AB38E006D6E7}">
      <dgm:prSet phldrT="[Text]" custT="1"/>
      <dgm:spPr>
        <a:xfrm>
          <a:off x="3361410" y="900963"/>
          <a:ext cx="1685986" cy="1000328"/>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Char char="•"/>
          </a:pPr>
          <a:r>
            <a:rPr lang="lv-LV" sz="11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Kontakti</a:t>
          </a:r>
          <a:endParaRPr lang="en-GB" sz="11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endParaRPr>
        </a:p>
      </dgm:t>
    </dgm:pt>
    <dgm:pt modelId="{745BA437-50CD-44CB-9328-9E8C8AD02248}" type="parTrans" cxnId="{F9C7E9F8-1C9E-43F9-87CB-EA8A18AADFD0}">
      <dgm:prSet/>
      <dgm:spPr/>
      <dgm:t>
        <a:bodyPr/>
        <a:lstStyle/>
        <a:p>
          <a:endParaRPr lang="en-GB" sz="1200"/>
        </a:p>
      </dgm:t>
    </dgm:pt>
    <dgm:pt modelId="{BA9B4FA7-9FE1-4032-ADEF-4E2659DD354F}" type="sibTrans" cxnId="{F9C7E9F8-1C9E-43F9-87CB-EA8A18AADFD0}">
      <dgm:prSet/>
      <dgm:spPr/>
      <dgm:t>
        <a:bodyPr/>
        <a:lstStyle/>
        <a:p>
          <a:endParaRPr lang="en-GB" sz="1200"/>
        </a:p>
      </dgm:t>
    </dgm:pt>
    <dgm:pt modelId="{2092ADA4-9E19-419B-A5D0-314825786BE5}">
      <dgm:prSet phldrT="[Text]" custT="1"/>
      <dgm:spPr>
        <a:xfrm>
          <a:off x="5288564" y="876293"/>
          <a:ext cx="1575413" cy="1273888"/>
        </a:xfrm>
        <a:prstGeom prst="roundRect">
          <a:avLst>
            <a:gd name="adj" fmla="val 10000"/>
          </a:avLst>
        </a:prstGeom>
        <a:solidFill>
          <a:sysClr val="window" lastClr="FFFFFF"/>
        </a:solidFill>
        <a:ln w="12700" cap="flat" cmpd="sng" algn="ctr">
          <a:solidFill>
            <a:srgbClr val="4472C4">
              <a:hueOff val="0"/>
              <a:satOff val="0"/>
              <a:lumOff val="0"/>
              <a:alphaOff val="0"/>
            </a:srgbClr>
          </a:solidFill>
          <a:prstDash val="solid"/>
          <a:miter lim="800000"/>
        </a:ln>
        <a:effectLst/>
      </dgm:spPr>
      <dgm:t>
        <a:bodyPr/>
        <a:lstStyle/>
        <a:p>
          <a:pPr>
            <a:buChar char="•"/>
          </a:pPr>
          <a:endParaRPr lang="en-GB" sz="1050">
            <a:solidFill>
              <a:sysClr val="windowText" lastClr="000000">
                <a:hueOff val="0"/>
                <a:satOff val="0"/>
                <a:lumOff val="0"/>
                <a:alphaOff val="0"/>
              </a:sysClr>
            </a:solidFill>
            <a:latin typeface="Arial" panose="020B0604020202020204" pitchFamily="34" charset="0"/>
            <a:ea typeface="+mn-ea"/>
            <a:cs typeface="Arial" panose="020B0604020202020204" pitchFamily="34" charset="0"/>
          </a:endParaRPr>
        </a:p>
      </dgm:t>
    </dgm:pt>
    <dgm:pt modelId="{BF89F857-A9C8-4B2D-904C-50785FB1BC48}" type="parTrans" cxnId="{D8E590F7-5FD2-44BB-8DD5-06C91A704A24}">
      <dgm:prSet/>
      <dgm:spPr/>
      <dgm:t>
        <a:bodyPr/>
        <a:lstStyle/>
        <a:p>
          <a:endParaRPr lang="en-GB" sz="1200"/>
        </a:p>
      </dgm:t>
    </dgm:pt>
    <dgm:pt modelId="{E4458E33-0FBF-4C20-95EE-8FE09BF52AC7}" type="sibTrans" cxnId="{D8E590F7-5FD2-44BB-8DD5-06C91A704A24}">
      <dgm:prSet/>
      <dgm:spPr/>
      <dgm:t>
        <a:bodyPr/>
        <a:lstStyle/>
        <a:p>
          <a:endParaRPr lang="en-GB" sz="1200"/>
        </a:p>
      </dgm:t>
    </dgm:pt>
    <dgm:pt modelId="{41D5AD98-92FF-4BDD-A6C6-6F61D27165AA}">
      <dgm:prSet phldrT="[Text]" custT="1"/>
      <dgm:spPr>
        <a:xfrm>
          <a:off x="3361410" y="900963"/>
          <a:ext cx="1685986" cy="1000328"/>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Char char="•"/>
          </a:pPr>
          <a:r>
            <a:rPr lang="lv-LV" sz="11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Finansējuma piesaiste</a:t>
          </a:r>
          <a:endParaRPr lang="en-GB" sz="11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endParaRPr>
        </a:p>
      </dgm:t>
    </dgm:pt>
    <dgm:pt modelId="{40A2007B-656F-4795-AAA6-FF153F7ABA8E}" type="parTrans" cxnId="{7DE73F65-5F84-47C9-917B-604F29E6F318}">
      <dgm:prSet/>
      <dgm:spPr/>
      <dgm:t>
        <a:bodyPr/>
        <a:lstStyle/>
        <a:p>
          <a:endParaRPr lang="en-GB" sz="1200"/>
        </a:p>
      </dgm:t>
    </dgm:pt>
    <dgm:pt modelId="{6BBA8196-17CC-41E4-B6B6-F8D89D75BAF3}" type="sibTrans" cxnId="{7DE73F65-5F84-47C9-917B-604F29E6F318}">
      <dgm:prSet/>
      <dgm:spPr/>
      <dgm:t>
        <a:bodyPr/>
        <a:lstStyle/>
        <a:p>
          <a:endParaRPr lang="en-GB" sz="1200"/>
        </a:p>
      </dgm:t>
    </dgm:pt>
    <dgm:pt modelId="{39C07C5B-0DA3-4F0F-82D3-C20A7E301763}">
      <dgm:prSet phldrT="[Text]" custT="1"/>
      <dgm:spPr>
        <a:xfrm>
          <a:off x="5288564" y="876293"/>
          <a:ext cx="1575413" cy="1273888"/>
        </a:xfrm>
        <a:prstGeom prst="roundRect">
          <a:avLst>
            <a:gd name="adj" fmla="val 10000"/>
          </a:avLst>
        </a:prstGeom>
        <a:solidFill>
          <a:sysClr val="window" lastClr="FFFFFF"/>
        </a:solidFill>
        <a:ln w="12700" cap="flat" cmpd="sng" algn="ctr">
          <a:solidFill>
            <a:srgbClr val="4472C4">
              <a:hueOff val="0"/>
              <a:satOff val="0"/>
              <a:lumOff val="0"/>
              <a:alphaOff val="0"/>
            </a:srgbClr>
          </a:solidFill>
          <a:prstDash val="solid"/>
          <a:miter lim="800000"/>
        </a:ln>
        <a:effectLst/>
      </dgm:spPr>
      <dgm:t>
        <a:bodyPr/>
        <a:lstStyle/>
        <a:p>
          <a:pPr>
            <a:buChar char="•"/>
          </a:pPr>
          <a:r>
            <a:rPr lang="lv-LV" sz="1100" i="1" err="1">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Know-how</a:t>
          </a:r>
          <a:endParaRPr lang="en-GB" sz="1100" i="1">
            <a:solidFill>
              <a:sysClr val="windowText" lastClr="000000">
                <a:hueOff val="0"/>
                <a:satOff val="0"/>
                <a:lumOff val="0"/>
                <a:alphaOff val="0"/>
              </a:sysClr>
            </a:solidFill>
            <a:latin typeface="Arial" panose="020B0604020202020204" pitchFamily="34" charset="0"/>
            <a:ea typeface="+mn-ea"/>
            <a:cs typeface="Arial" panose="020B0604020202020204" pitchFamily="34" charset="0"/>
          </a:endParaRPr>
        </a:p>
      </dgm:t>
    </dgm:pt>
    <dgm:pt modelId="{C0F5B9C3-A6D4-4D90-A52D-DF06B41D7EE4}" type="parTrans" cxnId="{DDFF106A-2BCE-4170-9D88-CE7371571AA3}">
      <dgm:prSet/>
      <dgm:spPr/>
      <dgm:t>
        <a:bodyPr/>
        <a:lstStyle/>
        <a:p>
          <a:endParaRPr lang="en-GB" sz="1200"/>
        </a:p>
      </dgm:t>
    </dgm:pt>
    <dgm:pt modelId="{FBF442DD-7BC2-4978-80D3-B742EA273BFE}" type="sibTrans" cxnId="{DDFF106A-2BCE-4170-9D88-CE7371571AA3}">
      <dgm:prSet/>
      <dgm:spPr/>
      <dgm:t>
        <a:bodyPr/>
        <a:lstStyle/>
        <a:p>
          <a:endParaRPr lang="en-GB" sz="1200"/>
        </a:p>
      </dgm:t>
    </dgm:pt>
    <dgm:pt modelId="{14F8EF9D-0E85-4098-BAFA-1E0BD3676817}">
      <dgm:prSet phldrT="[Text]" custT="1"/>
      <dgm:spPr>
        <a:xfrm>
          <a:off x="5288564" y="876293"/>
          <a:ext cx="1575413" cy="1273888"/>
        </a:xfrm>
        <a:prstGeom prst="roundRect">
          <a:avLst>
            <a:gd name="adj" fmla="val 10000"/>
          </a:avLst>
        </a:prstGeom>
        <a:solidFill>
          <a:sysClr val="window" lastClr="FFFFFF"/>
        </a:solidFill>
        <a:ln w="12700" cap="flat" cmpd="sng" algn="ctr">
          <a:solidFill>
            <a:srgbClr val="4472C4">
              <a:hueOff val="0"/>
              <a:satOff val="0"/>
              <a:lumOff val="0"/>
              <a:alphaOff val="0"/>
            </a:srgbClr>
          </a:solidFill>
          <a:prstDash val="solid"/>
          <a:miter lim="800000"/>
        </a:ln>
        <a:effectLst/>
      </dgm:spPr>
      <dgm:t>
        <a:bodyPr/>
        <a:lstStyle/>
        <a:p>
          <a:pPr>
            <a:buChar char="•"/>
          </a:pPr>
          <a:endParaRPr lang="en-GB" sz="1050">
            <a:solidFill>
              <a:sysClr val="windowText" lastClr="000000">
                <a:hueOff val="0"/>
                <a:satOff val="0"/>
                <a:lumOff val="0"/>
                <a:alphaOff val="0"/>
              </a:sysClr>
            </a:solidFill>
            <a:latin typeface="Arial" panose="020B0604020202020204" pitchFamily="34" charset="0"/>
            <a:ea typeface="+mn-ea"/>
            <a:cs typeface="Arial" panose="020B0604020202020204" pitchFamily="34" charset="0"/>
          </a:endParaRPr>
        </a:p>
      </dgm:t>
    </dgm:pt>
    <dgm:pt modelId="{CA0CAB75-9E78-41DF-8BAF-B99F90B61238}" type="parTrans" cxnId="{7FFB4849-25FC-49D1-9FBB-45A09CD82A03}">
      <dgm:prSet/>
      <dgm:spPr/>
      <dgm:t>
        <a:bodyPr/>
        <a:lstStyle/>
        <a:p>
          <a:endParaRPr lang="en-GB" sz="1200"/>
        </a:p>
      </dgm:t>
    </dgm:pt>
    <dgm:pt modelId="{B4DDC348-C13F-4B6C-86F9-6C35D10D14AB}" type="sibTrans" cxnId="{7FFB4849-25FC-49D1-9FBB-45A09CD82A03}">
      <dgm:prSet/>
      <dgm:spPr/>
      <dgm:t>
        <a:bodyPr/>
        <a:lstStyle/>
        <a:p>
          <a:endParaRPr lang="en-GB" sz="1200"/>
        </a:p>
      </dgm:t>
    </dgm:pt>
    <dgm:pt modelId="{1DEEA017-1347-4FB0-9540-DF13B01C1085}">
      <dgm:prSet phldrT="[Text]" custT="1"/>
      <dgm:spPr>
        <a:xfrm>
          <a:off x="5288564" y="876293"/>
          <a:ext cx="1575413" cy="1273888"/>
        </a:xfrm>
        <a:prstGeom prst="roundRect">
          <a:avLst>
            <a:gd name="adj" fmla="val 10000"/>
          </a:avLst>
        </a:prstGeom>
        <a:solidFill>
          <a:sysClr val="window" lastClr="FFFFFF"/>
        </a:solidFill>
        <a:ln w="12700" cap="flat" cmpd="sng" algn="ctr">
          <a:solidFill>
            <a:srgbClr val="4472C4">
              <a:hueOff val="0"/>
              <a:satOff val="0"/>
              <a:lumOff val="0"/>
              <a:alphaOff val="0"/>
            </a:srgbClr>
          </a:solidFill>
          <a:prstDash val="solid"/>
          <a:miter lim="800000"/>
        </a:ln>
        <a:effectLst/>
      </dgm:spPr>
      <dgm:t>
        <a:bodyPr/>
        <a:lstStyle/>
        <a:p>
          <a:pPr>
            <a:buChar char="•"/>
          </a:pPr>
          <a:r>
            <a:rPr lang="lv-LV" sz="1100">
              <a:solidFill>
                <a:srgbClr val="44546A">
                  <a:lumMod val="75000"/>
                </a:srgbClr>
              </a:solidFill>
              <a:latin typeface="Arial" panose="020B0604020202020204" pitchFamily="34" charset="0"/>
              <a:ea typeface="+mn-ea"/>
              <a:cs typeface="Arial" panose="020B0604020202020204" pitchFamily="34" charset="0"/>
            </a:rPr>
            <a:t>Arī negatīvs rezultāts ir rezultāts</a:t>
          </a:r>
          <a:endParaRPr lang="en-GB" sz="1100">
            <a:solidFill>
              <a:srgbClr val="44546A">
                <a:lumMod val="75000"/>
              </a:srgbClr>
            </a:solidFill>
            <a:latin typeface="Arial" panose="020B0604020202020204" pitchFamily="34" charset="0"/>
            <a:ea typeface="+mn-ea"/>
            <a:cs typeface="Arial" panose="020B0604020202020204" pitchFamily="34" charset="0"/>
          </a:endParaRPr>
        </a:p>
      </dgm:t>
    </dgm:pt>
    <dgm:pt modelId="{AAB34558-2DA4-4F39-94F0-D97621320957}" type="parTrans" cxnId="{765C561A-C91F-4211-B889-3D4D5EDECEEA}">
      <dgm:prSet/>
      <dgm:spPr/>
      <dgm:t>
        <a:bodyPr/>
        <a:lstStyle/>
        <a:p>
          <a:endParaRPr lang="en-GB" sz="1200"/>
        </a:p>
      </dgm:t>
    </dgm:pt>
    <dgm:pt modelId="{B93464E8-0385-4EF5-BBC0-9CA49B94AEED}" type="sibTrans" cxnId="{765C561A-C91F-4211-B889-3D4D5EDECEEA}">
      <dgm:prSet/>
      <dgm:spPr/>
      <dgm:t>
        <a:bodyPr/>
        <a:lstStyle/>
        <a:p>
          <a:endParaRPr lang="en-GB" sz="1200"/>
        </a:p>
      </dgm:t>
    </dgm:pt>
    <dgm:pt modelId="{6EC900DF-1B98-4D81-BEFA-7295AC8830AB}" type="pres">
      <dgm:prSet presAssocID="{30CC6F17-7ABD-4944-BDA1-2C5146B57498}" presName="Name0" presStyleCnt="0">
        <dgm:presLayoutVars>
          <dgm:dir/>
          <dgm:animLvl val="lvl"/>
          <dgm:resizeHandles val="exact"/>
        </dgm:presLayoutVars>
      </dgm:prSet>
      <dgm:spPr/>
    </dgm:pt>
    <dgm:pt modelId="{4B356931-229C-4CE9-B497-7AF583C479EA}" type="pres">
      <dgm:prSet presAssocID="{30CC6F17-7ABD-4944-BDA1-2C5146B57498}" presName="tSp" presStyleCnt="0"/>
      <dgm:spPr/>
    </dgm:pt>
    <dgm:pt modelId="{CDC2959F-E570-421A-9884-0D3B11F174D1}" type="pres">
      <dgm:prSet presAssocID="{30CC6F17-7ABD-4944-BDA1-2C5146B57498}" presName="bSp" presStyleCnt="0"/>
      <dgm:spPr/>
    </dgm:pt>
    <dgm:pt modelId="{182ED345-056B-412E-A945-2BC0A4C96FF3}" type="pres">
      <dgm:prSet presAssocID="{30CC6F17-7ABD-4944-BDA1-2C5146B57498}" presName="process" presStyleCnt="0"/>
      <dgm:spPr/>
    </dgm:pt>
    <dgm:pt modelId="{03F351A5-F99C-4728-81C2-2A6FA18C05B8}" type="pres">
      <dgm:prSet presAssocID="{6B55F9C2-F144-4625-B957-DB599BAF82D8}" presName="composite1" presStyleCnt="0"/>
      <dgm:spPr/>
    </dgm:pt>
    <dgm:pt modelId="{790A80BD-D17D-421E-A538-2FA501206DBC}" type="pres">
      <dgm:prSet presAssocID="{6B55F9C2-F144-4625-B957-DB599BAF82D8}" presName="dummyNode1" presStyleLbl="node1" presStyleIdx="0" presStyleCnt="4"/>
      <dgm:spPr/>
    </dgm:pt>
    <dgm:pt modelId="{F4C2525D-100E-45CB-8ECC-B13D98D2B91D}" type="pres">
      <dgm:prSet presAssocID="{6B55F9C2-F144-4625-B957-DB599BAF82D8}" presName="childNode1" presStyleLbl="bgAcc1" presStyleIdx="0" presStyleCnt="4">
        <dgm:presLayoutVars>
          <dgm:bulletEnabled val="1"/>
        </dgm:presLayoutVars>
      </dgm:prSet>
      <dgm:spPr/>
    </dgm:pt>
    <dgm:pt modelId="{7540C1BF-778C-44F1-A55E-FFBC79235B6C}" type="pres">
      <dgm:prSet presAssocID="{6B55F9C2-F144-4625-B957-DB599BAF82D8}" presName="childNode1tx" presStyleLbl="bgAcc1" presStyleIdx="0" presStyleCnt="4">
        <dgm:presLayoutVars>
          <dgm:bulletEnabled val="1"/>
        </dgm:presLayoutVars>
      </dgm:prSet>
      <dgm:spPr/>
    </dgm:pt>
    <dgm:pt modelId="{5EAE8CB4-16E0-4D38-ABA5-1623CD608E45}" type="pres">
      <dgm:prSet presAssocID="{6B55F9C2-F144-4625-B957-DB599BAF82D8}" presName="parentNode1" presStyleLbl="node1" presStyleIdx="0" presStyleCnt="4">
        <dgm:presLayoutVars>
          <dgm:chMax val="1"/>
          <dgm:bulletEnabled val="1"/>
        </dgm:presLayoutVars>
      </dgm:prSet>
      <dgm:spPr/>
    </dgm:pt>
    <dgm:pt modelId="{6AC42226-4644-4B98-89DB-85962BEF089D}" type="pres">
      <dgm:prSet presAssocID="{6B55F9C2-F144-4625-B957-DB599BAF82D8}" presName="connSite1" presStyleCnt="0"/>
      <dgm:spPr/>
    </dgm:pt>
    <dgm:pt modelId="{31565345-0F73-4E43-80E9-3A7D454A30B2}" type="pres">
      <dgm:prSet presAssocID="{8CE8706C-96A6-4C26-A4A8-37009F7D874F}" presName="Name9" presStyleLbl="sibTrans2D1" presStyleIdx="0" presStyleCnt="3" custAng="21421035"/>
      <dgm:spPr/>
    </dgm:pt>
    <dgm:pt modelId="{DF51E2A2-CF1D-442B-9F57-F1982ED318ED}" type="pres">
      <dgm:prSet presAssocID="{EE385CF1-4824-499C-93DE-B6127A6405F3}" presName="composite2" presStyleCnt="0"/>
      <dgm:spPr/>
    </dgm:pt>
    <dgm:pt modelId="{B39E43C7-6D9C-462F-A258-954337C621AF}" type="pres">
      <dgm:prSet presAssocID="{EE385CF1-4824-499C-93DE-B6127A6405F3}" presName="dummyNode2" presStyleLbl="node1" presStyleIdx="0" presStyleCnt="4"/>
      <dgm:spPr/>
    </dgm:pt>
    <dgm:pt modelId="{C96F755D-64AC-4A94-BA8A-95C976F4667D}" type="pres">
      <dgm:prSet presAssocID="{EE385CF1-4824-499C-93DE-B6127A6405F3}" presName="childNode2" presStyleLbl="bgAcc1" presStyleIdx="1" presStyleCnt="4" custScaleX="124644">
        <dgm:presLayoutVars>
          <dgm:bulletEnabled val="1"/>
        </dgm:presLayoutVars>
      </dgm:prSet>
      <dgm:spPr/>
    </dgm:pt>
    <dgm:pt modelId="{808E5FBC-6CBE-476B-B37C-E1234D944C78}" type="pres">
      <dgm:prSet presAssocID="{EE385CF1-4824-499C-93DE-B6127A6405F3}" presName="childNode2tx" presStyleLbl="bgAcc1" presStyleIdx="1" presStyleCnt="4">
        <dgm:presLayoutVars>
          <dgm:bulletEnabled val="1"/>
        </dgm:presLayoutVars>
      </dgm:prSet>
      <dgm:spPr/>
    </dgm:pt>
    <dgm:pt modelId="{25B76222-360C-46DE-880C-BF76087D1958}" type="pres">
      <dgm:prSet presAssocID="{EE385CF1-4824-499C-93DE-B6127A6405F3}" presName="parentNode2" presStyleLbl="node1" presStyleIdx="1" presStyleCnt="4">
        <dgm:presLayoutVars>
          <dgm:chMax val="0"/>
          <dgm:bulletEnabled val="1"/>
        </dgm:presLayoutVars>
      </dgm:prSet>
      <dgm:spPr/>
    </dgm:pt>
    <dgm:pt modelId="{9CB32467-1E7B-42EE-ACFC-5E50D44E039E}" type="pres">
      <dgm:prSet presAssocID="{EE385CF1-4824-499C-93DE-B6127A6405F3}" presName="connSite2" presStyleCnt="0"/>
      <dgm:spPr/>
    </dgm:pt>
    <dgm:pt modelId="{A45E4738-531A-4BE8-A1F8-86CA1D210A65}" type="pres">
      <dgm:prSet presAssocID="{BD40FE0D-6FF0-4439-86A7-BB4E6ADF558D}" presName="Name18" presStyleLbl="sibTrans2D1" presStyleIdx="1" presStyleCnt="3" custAng="313537" custLinFactNeighborX="1612" custLinFactNeighborY="-4551"/>
      <dgm:spPr/>
    </dgm:pt>
    <dgm:pt modelId="{31D050B5-EEDB-4D29-8975-6BAA99798106}" type="pres">
      <dgm:prSet presAssocID="{1A5B6F3C-F912-47B9-882B-07F80FD63A96}" presName="composite1" presStyleCnt="0"/>
      <dgm:spPr/>
    </dgm:pt>
    <dgm:pt modelId="{5DF07943-A2FA-40FA-B2AB-E5F3B5F216D3}" type="pres">
      <dgm:prSet presAssocID="{1A5B6F3C-F912-47B9-882B-07F80FD63A96}" presName="dummyNode1" presStyleLbl="node1" presStyleIdx="1" presStyleCnt="4"/>
      <dgm:spPr/>
    </dgm:pt>
    <dgm:pt modelId="{546CA926-3424-4DFF-9EB0-5E16CF66729C}" type="pres">
      <dgm:prSet presAssocID="{1A5B6F3C-F912-47B9-882B-07F80FD63A96}" presName="childNode1" presStyleLbl="bgAcc1" presStyleIdx="2" presStyleCnt="4" custScaleX="139013">
        <dgm:presLayoutVars>
          <dgm:bulletEnabled val="1"/>
        </dgm:presLayoutVars>
      </dgm:prSet>
      <dgm:spPr/>
    </dgm:pt>
    <dgm:pt modelId="{577DABB0-039D-4149-A51D-AD5AD82418DE}" type="pres">
      <dgm:prSet presAssocID="{1A5B6F3C-F912-47B9-882B-07F80FD63A96}" presName="childNode1tx" presStyleLbl="bgAcc1" presStyleIdx="2" presStyleCnt="4">
        <dgm:presLayoutVars>
          <dgm:bulletEnabled val="1"/>
        </dgm:presLayoutVars>
      </dgm:prSet>
      <dgm:spPr/>
    </dgm:pt>
    <dgm:pt modelId="{26D5D0B8-F3FB-40E5-BFA6-1D0144ECE965}" type="pres">
      <dgm:prSet presAssocID="{1A5B6F3C-F912-47B9-882B-07F80FD63A96}" presName="parentNode1" presStyleLbl="node1" presStyleIdx="2" presStyleCnt="4" custLinFactNeighborX="12369" custLinFactNeighborY="35548">
        <dgm:presLayoutVars>
          <dgm:chMax val="1"/>
          <dgm:bulletEnabled val="1"/>
        </dgm:presLayoutVars>
      </dgm:prSet>
      <dgm:spPr/>
    </dgm:pt>
    <dgm:pt modelId="{A9D50880-3D96-44A7-971D-72B180FC9806}" type="pres">
      <dgm:prSet presAssocID="{1A5B6F3C-F912-47B9-882B-07F80FD63A96}" presName="connSite1" presStyleCnt="0"/>
      <dgm:spPr/>
    </dgm:pt>
    <dgm:pt modelId="{499C57CF-507B-42CA-9F74-3A57751FC13A}" type="pres">
      <dgm:prSet presAssocID="{B128F4B8-81D0-46B2-BD51-2AB865275E4E}" presName="Name9" presStyleLbl="sibTrans2D1" presStyleIdx="2" presStyleCnt="3" custAng="21365857"/>
      <dgm:spPr/>
    </dgm:pt>
    <dgm:pt modelId="{9BECEDED-B3CF-4BF4-8146-C67E998B89E7}" type="pres">
      <dgm:prSet presAssocID="{F3850614-8A23-49AF-B52E-160C3E3B58C2}" presName="composite2" presStyleCnt="0"/>
      <dgm:spPr/>
    </dgm:pt>
    <dgm:pt modelId="{92DB6A2C-0D7F-4B81-8CD0-962B3B1DF117}" type="pres">
      <dgm:prSet presAssocID="{F3850614-8A23-49AF-B52E-160C3E3B58C2}" presName="dummyNode2" presStyleLbl="node1" presStyleIdx="2" presStyleCnt="4"/>
      <dgm:spPr/>
    </dgm:pt>
    <dgm:pt modelId="{6FAE2862-FD6E-4A28-B1A9-4B73AB7996FB}" type="pres">
      <dgm:prSet presAssocID="{F3850614-8A23-49AF-B52E-160C3E3B58C2}" presName="childNode2" presStyleLbl="bgAcc1" presStyleIdx="3" presStyleCnt="4" custScaleX="129896" custScaleY="127347" custLinFactNeighborX="-762" custLinFactNeighborY="11305">
        <dgm:presLayoutVars>
          <dgm:bulletEnabled val="1"/>
        </dgm:presLayoutVars>
      </dgm:prSet>
      <dgm:spPr/>
    </dgm:pt>
    <dgm:pt modelId="{AF15C42A-A65F-4E20-835A-6F4E53AD18DE}" type="pres">
      <dgm:prSet presAssocID="{F3850614-8A23-49AF-B52E-160C3E3B58C2}" presName="childNode2tx" presStyleLbl="bgAcc1" presStyleIdx="3" presStyleCnt="4">
        <dgm:presLayoutVars>
          <dgm:bulletEnabled val="1"/>
        </dgm:presLayoutVars>
      </dgm:prSet>
      <dgm:spPr/>
    </dgm:pt>
    <dgm:pt modelId="{2E4AA291-44CB-474D-8611-5A2BC62EBE56}" type="pres">
      <dgm:prSet presAssocID="{F3850614-8A23-49AF-B52E-160C3E3B58C2}" presName="parentNode2" presStyleLbl="node1" presStyleIdx="3" presStyleCnt="4">
        <dgm:presLayoutVars>
          <dgm:chMax val="0"/>
          <dgm:bulletEnabled val="1"/>
        </dgm:presLayoutVars>
      </dgm:prSet>
      <dgm:spPr/>
    </dgm:pt>
    <dgm:pt modelId="{FAB34B4D-FEA2-4BEB-BE30-8F9409237CF4}" type="pres">
      <dgm:prSet presAssocID="{F3850614-8A23-49AF-B52E-160C3E3B58C2}" presName="connSite2" presStyleCnt="0"/>
      <dgm:spPr/>
    </dgm:pt>
  </dgm:ptLst>
  <dgm:cxnLst>
    <dgm:cxn modelId="{60E64E05-D5E9-4CD5-8A25-A062772E9D42}" srcId="{F3850614-8A23-49AF-B52E-160C3E3B58C2}" destId="{976EB5EE-7A8E-4DBF-92F0-8970327A9FAD}" srcOrd="0" destOrd="0" parTransId="{59B583BC-267C-420E-92CB-605E40B0408B}" sibTransId="{189BBD4B-8DCF-4730-8921-440042D12DDE}"/>
    <dgm:cxn modelId="{1ED80F08-1171-4165-A6EB-B9675EA3D6CC}" type="presOf" srcId="{CCA1C8B9-9AFA-4B9C-9CD9-E676845CAC91}" destId="{F4C2525D-100E-45CB-8ECC-B13D98D2B91D}" srcOrd="0" destOrd="0" presId="urn:microsoft.com/office/officeart/2005/8/layout/hProcess4"/>
    <dgm:cxn modelId="{4E6BAB16-91CD-434C-AD59-C162A37F7CB0}" type="presOf" srcId="{537730C9-34EF-42A5-863C-470D68E99F3D}" destId="{577DABB0-039D-4149-A51D-AD5AD82418DE}" srcOrd="1" destOrd="0" presId="urn:microsoft.com/office/officeart/2005/8/layout/hProcess4"/>
    <dgm:cxn modelId="{A26E2219-0DE6-47D7-884C-FA62ED96FF9E}" srcId="{6B55F9C2-F144-4625-B957-DB599BAF82D8}" destId="{89D6451A-0395-4AA8-8083-84C0A11ACD0A}" srcOrd="2" destOrd="0" parTransId="{4BDC9763-082D-4ED1-B342-06DBDEA1CB11}" sibTransId="{88E0AA55-C53D-4A18-8FCF-FE5B475157A3}"/>
    <dgm:cxn modelId="{D1F74819-0EC0-445A-9796-B290CC38398D}" type="presOf" srcId="{7222ACE2-5AFB-4C94-86BC-C9A61316E41E}" destId="{C96F755D-64AC-4A94-BA8A-95C976F4667D}" srcOrd="0" destOrd="0" presId="urn:microsoft.com/office/officeart/2005/8/layout/hProcess4"/>
    <dgm:cxn modelId="{765C561A-C91F-4211-B889-3D4D5EDECEEA}" srcId="{F3850614-8A23-49AF-B52E-160C3E3B58C2}" destId="{1DEEA017-1347-4FB0-9540-DF13B01C1085}" srcOrd="2" destOrd="0" parTransId="{AAB34558-2DA4-4F39-94F0-D97621320957}" sibTransId="{B93464E8-0385-4EF5-BBC0-9CA49B94AEED}"/>
    <dgm:cxn modelId="{52F41829-8284-49C2-8C53-39AB89C6BCAD}" srcId="{6B55F9C2-F144-4625-B957-DB599BAF82D8}" destId="{23D95059-725E-46DD-87B3-EDE7A0E82365}" srcOrd="1" destOrd="0" parTransId="{AC187B9F-797D-4588-B8E5-4F0DAC316B2B}" sibTransId="{75E4D2FD-1C2A-4FCA-8291-324F8E6642AB}"/>
    <dgm:cxn modelId="{BF0B4D36-2E9E-4A40-B4B1-C68334EB6708}" srcId="{EE385CF1-4824-499C-93DE-B6127A6405F3}" destId="{7222ACE2-5AFB-4C94-86BC-C9A61316E41E}" srcOrd="0" destOrd="0" parTransId="{AEA0AED3-DF78-4D2A-AA37-16EA92FA7C81}" sibTransId="{42528BBC-BF8C-4B1B-BE06-ED129238008B}"/>
    <dgm:cxn modelId="{8693CD38-7ADA-40FD-8808-E87C25A7E30C}" srcId="{EE385CF1-4824-499C-93DE-B6127A6405F3}" destId="{5E43F6AB-8DE3-4D13-8843-CA15FFC9B5CE}" srcOrd="1" destOrd="0" parTransId="{D6C0686D-07C8-4654-B096-05D29B3B3FAF}" sibTransId="{85770786-B468-4B71-8FEC-C006A14D87BA}"/>
    <dgm:cxn modelId="{63A3DA3C-3560-4F32-93CB-B312AE05B888}" type="presOf" srcId="{7222ACE2-5AFB-4C94-86BC-C9A61316E41E}" destId="{808E5FBC-6CBE-476B-B37C-E1234D944C78}" srcOrd="1" destOrd="0" presId="urn:microsoft.com/office/officeart/2005/8/layout/hProcess4"/>
    <dgm:cxn modelId="{97FFF941-D5B1-4363-8E97-8013B9E9B41C}" type="presOf" srcId="{86D8A9F8-1DEA-4CE2-877F-EF042AE693A0}" destId="{546CA926-3424-4DFF-9EB0-5E16CF66729C}" srcOrd="0" destOrd="1" presId="urn:microsoft.com/office/officeart/2005/8/layout/hProcess4"/>
    <dgm:cxn modelId="{7DE73F65-5F84-47C9-917B-604F29E6F318}" srcId="{1A5B6F3C-F912-47B9-882B-07F80FD63A96}" destId="{41D5AD98-92FF-4BDD-A6C6-6F61D27165AA}" srcOrd="3" destOrd="0" parTransId="{40A2007B-656F-4795-AAA6-FF153F7ABA8E}" sibTransId="{6BBA8196-17CC-41E4-B6B6-F8D89D75BAF3}"/>
    <dgm:cxn modelId="{CAF49346-C995-4DAC-ABC9-4E046B7B9FB4}" type="presOf" srcId="{540301C2-0EA9-4983-8014-AB38E006D6E7}" destId="{546CA926-3424-4DFF-9EB0-5E16CF66729C}" srcOrd="0" destOrd="2" presId="urn:microsoft.com/office/officeart/2005/8/layout/hProcess4"/>
    <dgm:cxn modelId="{EE735C49-BA0E-4749-BD5C-6D7A4E4E4D69}" type="presOf" srcId="{39C07C5B-0DA3-4F0F-82D3-C20A7E301763}" destId="{AF15C42A-A65F-4E20-835A-6F4E53AD18DE}" srcOrd="1" destOrd="1" presId="urn:microsoft.com/office/officeart/2005/8/layout/hProcess4"/>
    <dgm:cxn modelId="{7FFB4849-25FC-49D1-9FBB-45A09CD82A03}" srcId="{F3850614-8A23-49AF-B52E-160C3E3B58C2}" destId="{14F8EF9D-0E85-4098-BAFA-1E0BD3676817}" srcOrd="3" destOrd="0" parTransId="{CA0CAB75-9E78-41DF-8BAF-B99F90B61238}" sibTransId="{B4DDC348-C13F-4B6C-86F9-6C35D10D14AB}"/>
    <dgm:cxn modelId="{DDFF106A-2BCE-4170-9D88-CE7371571AA3}" srcId="{F3850614-8A23-49AF-B52E-160C3E3B58C2}" destId="{39C07C5B-0DA3-4F0F-82D3-C20A7E301763}" srcOrd="1" destOrd="0" parTransId="{C0F5B9C3-A6D4-4D90-A52D-DF06B41D7EE4}" sibTransId="{FBF442DD-7BC2-4978-80D3-B742EA273BFE}"/>
    <dgm:cxn modelId="{1BE76C4B-C9C6-471C-83E2-69C02033B6D7}" type="presOf" srcId="{CCA1C8B9-9AFA-4B9C-9CD9-E676845CAC91}" destId="{7540C1BF-778C-44F1-A55E-FFBC79235B6C}" srcOrd="1" destOrd="0" presId="urn:microsoft.com/office/officeart/2005/8/layout/hProcess4"/>
    <dgm:cxn modelId="{EF0D546F-193C-47C1-AF73-631EA1879930}" type="presOf" srcId="{B128F4B8-81D0-46B2-BD51-2AB865275E4E}" destId="{499C57CF-507B-42CA-9F74-3A57751FC13A}" srcOrd="0" destOrd="0" presId="urn:microsoft.com/office/officeart/2005/8/layout/hProcess4"/>
    <dgm:cxn modelId="{4275AD71-BFA7-49C4-B718-05A93FB864F0}" type="presOf" srcId="{540301C2-0EA9-4983-8014-AB38E006D6E7}" destId="{577DABB0-039D-4149-A51D-AD5AD82418DE}" srcOrd="1" destOrd="2" presId="urn:microsoft.com/office/officeart/2005/8/layout/hProcess4"/>
    <dgm:cxn modelId="{8D72B572-307C-47B8-8AD9-4864F83EF113}" type="presOf" srcId="{537730C9-34EF-42A5-863C-470D68E99F3D}" destId="{546CA926-3424-4DFF-9EB0-5E16CF66729C}" srcOrd="0" destOrd="0" presId="urn:microsoft.com/office/officeart/2005/8/layout/hProcess4"/>
    <dgm:cxn modelId="{D4FA4173-D304-40D2-BFCD-AD260403A175}" type="presOf" srcId="{BD40FE0D-6FF0-4439-86A7-BB4E6ADF558D}" destId="{A45E4738-531A-4BE8-A1F8-86CA1D210A65}" srcOrd="0" destOrd="0" presId="urn:microsoft.com/office/officeart/2005/8/layout/hProcess4"/>
    <dgm:cxn modelId="{0B699E56-1E19-4161-A9F2-297374C66B80}" type="presOf" srcId="{89D6451A-0395-4AA8-8083-84C0A11ACD0A}" destId="{7540C1BF-778C-44F1-A55E-FFBC79235B6C}" srcOrd="1" destOrd="2" presId="urn:microsoft.com/office/officeart/2005/8/layout/hProcess4"/>
    <dgm:cxn modelId="{61E4B558-B529-4BEC-B721-D4806A156B6C}" srcId="{30CC6F17-7ABD-4944-BDA1-2C5146B57498}" destId="{1A5B6F3C-F912-47B9-882B-07F80FD63A96}" srcOrd="2" destOrd="0" parTransId="{AFB6AD19-C77D-4F6E-9472-DB5CBAAED907}" sibTransId="{B128F4B8-81D0-46B2-BD51-2AB865275E4E}"/>
    <dgm:cxn modelId="{67A44487-F7DA-4512-81D2-5A22B92286A5}" type="presOf" srcId="{8CE8706C-96A6-4C26-A4A8-37009F7D874F}" destId="{31565345-0F73-4E43-80E9-3A7D454A30B2}" srcOrd="0" destOrd="0" presId="urn:microsoft.com/office/officeart/2005/8/layout/hProcess4"/>
    <dgm:cxn modelId="{9EF0DF88-D42B-4160-BD69-7AFD384C4F93}" type="presOf" srcId="{23D95059-725E-46DD-87B3-EDE7A0E82365}" destId="{F4C2525D-100E-45CB-8ECC-B13D98D2B91D}" srcOrd="0" destOrd="1" presId="urn:microsoft.com/office/officeart/2005/8/layout/hProcess4"/>
    <dgm:cxn modelId="{8746A991-AC71-49E7-9C3D-C3DF75D19CD4}" type="presOf" srcId="{6B55F9C2-F144-4625-B957-DB599BAF82D8}" destId="{5EAE8CB4-16E0-4D38-ABA5-1623CD608E45}" srcOrd="0" destOrd="0" presId="urn:microsoft.com/office/officeart/2005/8/layout/hProcess4"/>
    <dgm:cxn modelId="{7BAA8393-F14C-4417-A6C2-E79A630C4B36}" type="presOf" srcId="{EE385CF1-4824-499C-93DE-B6127A6405F3}" destId="{25B76222-360C-46DE-880C-BF76087D1958}" srcOrd="0" destOrd="0" presId="urn:microsoft.com/office/officeart/2005/8/layout/hProcess4"/>
    <dgm:cxn modelId="{88789E95-6C24-43A1-AC76-61DF30C3713A}" type="presOf" srcId="{1A5B6F3C-F912-47B9-882B-07F80FD63A96}" destId="{26D5D0B8-F3FB-40E5-BFA6-1D0144ECE965}" srcOrd="0" destOrd="0" presId="urn:microsoft.com/office/officeart/2005/8/layout/hProcess4"/>
    <dgm:cxn modelId="{A168BB99-3DB7-417C-9040-DA311A03881E}" type="presOf" srcId="{39C07C5B-0DA3-4F0F-82D3-C20A7E301763}" destId="{6FAE2862-FD6E-4A28-B1A9-4B73AB7996FB}" srcOrd="0" destOrd="1" presId="urn:microsoft.com/office/officeart/2005/8/layout/hProcess4"/>
    <dgm:cxn modelId="{B52ED29A-74EF-4F25-B624-DED08D822CA9}" type="presOf" srcId="{14F8EF9D-0E85-4098-BAFA-1E0BD3676817}" destId="{6FAE2862-FD6E-4A28-B1A9-4B73AB7996FB}" srcOrd="0" destOrd="3" presId="urn:microsoft.com/office/officeart/2005/8/layout/hProcess4"/>
    <dgm:cxn modelId="{4CD9609B-CA01-46E3-9C32-F10AC92840F7}" type="presOf" srcId="{41D5AD98-92FF-4BDD-A6C6-6F61D27165AA}" destId="{577DABB0-039D-4149-A51D-AD5AD82418DE}" srcOrd="1" destOrd="3" presId="urn:microsoft.com/office/officeart/2005/8/layout/hProcess4"/>
    <dgm:cxn modelId="{5EAF24A0-B6E0-4723-A876-79AFE15430C5}" srcId="{1A5B6F3C-F912-47B9-882B-07F80FD63A96}" destId="{86D8A9F8-1DEA-4CE2-877F-EF042AE693A0}" srcOrd="1" destOrd="0" parTransId="{78C11D2B-5175-4868-80A0-4717A4A4AF16}" sibTransId="{79EF52B3-9C0B-4E33-8EB8-D399AEE54474}"/>
    <dgm:cxn modelId="{166A6AA1-EA43-4630-A546-055AA57EFC86}" srcId="{6B55F9C2-F144-4625-B957-DB599BAF82D8}" destId="{CCA1C8B9-9AFA-4B9C-9CD9-E676845CAC91}" srcOrd="0" destOrd="0" parTransId="{4BC2B6F1-BF71-421F-AEA2-05837726DDD2}" sibTransId="{03887BFA-2C4B-453B-8827-776BDEB5B569}"/>
    <dgm:cxn modelId="{367620AE-8BE4-4EA7-9BEC-D67D70CC1B6D}" srcId="{30CC6F17-7ABD-4944-BDA1-2C5146B57498}" destId="{EE385CF1-4824-499C-93DE-B6127A6405F3}" srcOrd="1" destOrd="0" parTransId="{1BF2D3A9-11EE-41E4-84AA-E5F7409917E8}" sibTransId="{BD40FE0D-6FF0-4439-86A7-BB4E6ADF558D}"/>
    <dgm:cxn modelId="{222F2AAE-C871-4367-82AD-C17980068476}" type="presOf" srcId="{30CC6F17-7ABD-4944-BDA1-2C5146B57498}" destId="{6EC900DF-1B98-4D81-BEFA-7295AC8830AB}" srcOrd="0" destOrd="0" presId="urn:microsoft.com/office/officeart/2005/8/layout/hProcess4"/>
    <dgm:cxn modelId="{A15AF6B7-1FD0-4CF9-8DC8-DB736CC9D16D}" type="presOf" srcId="{14F8EF9D-0E85-4098-BAFA-1E0BD3676817}" destId="{AF15C42A-A65F-4E20-835A-6F4E53AD18DE}" srcOrd="1" destOrd="3" presId="urn:microsoft.com/office/officeart/2005/8/layout/hProcess4"/>
    <dgm:cxn modelId="{D602C0B8-0AAF-413F-A27E-D2A0043F3CAB}" srcId="{EE385CF1-4824-499C-93DE-B6127A6405F3}" destId="{2375711B-2D39-4594-89F5-9CB64FF10A12}" srcOrd="2" destOrd="0" parTransId="{228553A1-A3FC-45DF-ABEC-0CCD1E19437F}" sibTransId="{4EE6D6E7-AEEC-4277-A1A5-5EFE65ADD4F7}"/>
    <dgm:cxn modelId="{CBA927BA-688F-4EDC-829D-4FEF4D75EE73}" type="presOf" srcId="{5E43F6AB-8DE3-4D13-8843-CA15FFC9B5CE}" destId="{C96F755D-64AC-4A94-BA8A-95C976F4667D}" srcOrd="0" destOrd="1" presId="urn:microsoft.com/office/officeart/2005/8/layout/hProcess4"/>
    <dgm:cxn modelId="{C03947C3-6BE4-4A32-86E5-0448B35D33E6}" type="presOf" srcId="{2092ADA4-9E19-419B-A5D0-314825786BE5}" destId="{AF15C42A-A65F-4E20-835A-6F4E53AD18DE}" srcOrd="1" destOrd="4" presId="urn:microsoft.com/office/officeart/2005/8/layout/hProcess4"/>
    <dgm:cxn modelId="{24D1F2C6-DC7C-4B84-BF8B-8D44E44F5B88}" srcId="{30CC6F17-7ABD-4944-BDA1-2C5146B57498}" destId="{F3850614-8A23-49AF-B52E-160C3E3B58C2}" srcOrd="3" destOrd="0" parTransId="{32A8BF0F-A1AF-4F80-989A-8EB5F8B8BA67}" sibTransId="{47252765-87B6-44F4-AD10-25C78200EBDE}"/>
    <dgm:cxn modelId="{A04DFDC6-5915-4F7E-B1C3-023A1D0FE814}" type="presOf" srcId="{1DEEA017-1347-4FB0-9540-DF13B01C1085}" destId="{6FAE2862-FD6E-4A28-B1A9-4B73AB7996FB}" srcOrd="0" destOrd="2" presId="urn:microsoft.com/office/officeart/2005/8/layout/hProcess4"/>
    <dgm:cxn modelId="{E5B488C8-A199-4B1D-A078-1A82E32B09B6}" type="presOf" srcId="{5E43F6AB-8DE3-4D13-8843-CA15FFC9B5CE}" destId="{808E5FBC-6CBE-476B-B37C-E1234D944C78}" srcOrd="1" destOrd="1" presId="urn:microsoft.com/office/officeart/2005/8/layout/hProcess4"/>
    <dgm:cxn modelId="{640B97CD-DC60-477D-A3ED-2FF9888B1787}" type="presOf" srcId="{86D8A9F8-1DEA-4CE2-877F-EF042AE693A0}" destId="{577DABB0-039D-4149-A51D-AD5AD82418DE}" srcOrd="1" destOrd="1" presId="urn:microsoft.com/office/officeart/2005/8/layout/hProcess4"/>
    <dgm:cxn modelId="{595FA3CF-A24B-4DA4-94BB-3DC3A0377C1C}" type="presOf" srcId="{89D6451A-0395-4AA8-8083-84C0A11ACD0A}" destId="{F4C2525D-100E-45CB-8ECC-B13D98D2B91D}" srcOrd="0" destOrd="2" presId="urn:microsoft.com/office/officeart/2005/8/layout/hProcess4"/>
    <dgm:cxn modelId="{426757D3-975D-4CF0-A6AD-9ADDEA69CC8F}" type="presOf" srcId="{2375711B-2D39-4594-89F5-9CB64FF10A12}" destId="{C96F755D-64AC-4A94-BA8A-95C976F4667D}" srcOrd="0" destOrd="2" presId="urn:microsoft.com/office/officeart/2005/8/layout/hProcess4"/>
    <dgm:cxn modelId="{8A502ED7-6B99-4ADA-BA10-77CC86CFBBCC}" srcId="{30CC6F17-7ABD-4944-BDA1-2C5146B57498}" destId="{6B55F9C2-F144-4625-B957-DB599BAF82D8}" srcOrd="0" destOrd="0" parTransId="{D23011D8-97F1-411A-8EF8-42672531FD18}" sibTransId="{8CE8706C-96A6-4C26-A4A8-37009F7D874F}"/>
    <dgm:cxn modelId="{2225A1D7-267E-4398-8592-ABE01CD9E28E}" type="presOf" srcId="{2375711B-2D39-4594-89F5-9CB64FF10A12}" destId="{808E5FBC-6CBE-476B-B37C-E1234D944C78}" srcOrd="1" destOrd="2" presId="urn:microsoft.com/office/officeart/2005/8/layout/hProcess4"/>
    <dgm:cxn modelId="{5263F4DB-9FCF-428B-9900-93EF6AFCAB1B}" type="presOf" srcId="{976EB5EE-7A8E-4DBF-92F0-8970327A9FAD}" destId="{AF15C42A-A65F-4E20-835A-6F4E53AD18DE}" srcOrd="1" destOrd="0" presId="urn:microsoft.com/office/officeart/2005/8/layout/hProcess4"/>
    <dgm:cxn modelId="{365DFCE0-A20F-404B-BBE7-990711F89CB4}" srcId="{1A5B6F3C-F912-47B9-882B-07F80FD63A96}" destId="{537730C9-34EF-42A5-863C-470D68E99F3D}" srcOrd="0" destOrd="0" parTransId="{FDC6EFEF-912F-40E7-BA88-83A28CEDD228}" sibTransId="{B33DE1A6-B158-43B4-B30D-587D867E9D54}"/>
    <dgm:cxn modelId="{F42E6CE1-4497-4E40-8B8B-678AD11EDC07}" type="presOf" srcId="{1DEEA017-1347-4FB0-9540-DF13B01C1085}" destId="{AF15C42A-A65F-4E20-835A-6F4E53AD18DE}" srcOrd="1" destOrd="2" presId="urn:microsoft.com/office/officeart/2005/8/layout/hProcess4"/>
    <dgm:cxn modelId="{CE2E73E1-3C65-44EB-AE24-D0146C2C737E}" type="presOf" srcId="{41D5AD98-92FF-4BDD-A6C6-6F61D27165AA}" destId="{546CA926-3424-4DFF-9EB0-5E16CF66729C}" srcOrd="0" destOrd="3" presId="urn:microsoft.com/office/officeart/2005/8/layout/hProcess4"/>
    <dgm:cxn modelId="{048CF3E5-7F18-4F89-BBF8-76F2F7597D5A}" type="presOf" srcId="{F3850614-8A23-49AF-B52E-160C3E3B58C2}" destId="{2E4AA291-44CB-474D-8611-5A2BC62EBE56}" srcOrd="0" destOrd="0" presId="urn:microsoft.com/office/officeart/2005/8/layout/hProcess4"/>
    <dgm:cxn modelId="{4E9A7BEA-DDD0-4A90-A743-6898CCD48BDC}" type="presOf" srcId="{23D95059-725E-46DD-87B3-EDE7A0E82365}" destId="{7540C1BF-778C-44F1-A55E-FFBC79235B6C}" srcOrd="1" destOrd="1" presId="urn:microsoft.com/office/officeart/2005/8/layout/hProcess4"/>
    <dgm:cxn modelId="{AB3493F1-13EF-4C07-9626-D8E9F810D7D9}" type="presOf" srcId="{2092ADA4-9E19-419B-A5D0-314825786BE5}" destId="{6FAE2862-FD6E-4A28-B1A9-4B73AB7996FB}" srcOrd="0" destOrd="4" presId="urn:microsoft.com/office/officeart/2005/8/layout/hProcess4"/>
    <dgm:cxn modelId="{D8E590F7-5FD2-44BB-8DD5-06C91A704A24}" srcId="{F3850614-8A23-49AF-B52E-160C3E3B58C2}" destId="{2092ADA4-9E19-419B-A5D0-314825786BE5}" srcOrd="4" destOrd="0" parTransId="{BF89F857-A9C8-4B2D-904C-50785FB1BC48}" sibTransId="{E4458E33-0FBF-4C20-95EE-8FE09BF52AC7}"/>
    <dgm:cxn modelId="{F9C7E9F8-1C9E-43F9-87CB-EA8A18AADFD0}" srcId="{1A5B6F3C-F912-47B9-882B-07F80FD63A96}" destId="{540301C2-0EA9-4983-8014-AB38E006D6E7}" srcOrd="2" destOrd="0" parTransId="{745BA437-50CD-44CB-9328-9E8C8AD02248}" sibTransId="{BA9B4FA7-9FE1-4032-ADEF-4E2659DD354F}"/>
    <dgm:cxn modelId="{D62A38FF-5390-4E1A-A717-7A0A99147E4E}" type="presOf" srcId="{976EB5EE-7A8E-4DBF-92F0-8970327A9FAD}" destId="{6FAE2862-FD6E-4A28-B1A9-4B73AB7996FB}" srcOrd="0" destOrd="0" presId="urn:microsoft.com/office/officeart/2005/8/layout/hProcess4"/>
    <dgm:cxn modelId="{886688A2-544D-422D-ABBA-97D903090A14}" type="presParOf" srcId="{6EC900DF-1B98-4D81-BEFA-7295AC8830AB}" destId="{4B356931-229C-4CE9-B497-7AF583C479EA}" srcOrd="0" destOrd="0" presId="urn:microsoft.com/office/officeart/2005/8/layout/hProcess4"/>
    <dgm:cxn modelId="{511CD16A-B5D2-4794-B627-19B863E1D6AB}" type="presParOf" srcId="{6EC900DF-1B98-4D81-BEFA-7295AC8830AB}" destId="{CDC2959F-E570-421A-9884-0D3B11F174D1}" srcOrd="1" destOrd="0" presId="urn:microsoft.com/office/officeart/2005/8/layout/hProcess4"/>
    <dgm:cxn modelId="{CABDC2D1-2098-4520-8E4E-41F9EC74F74C}" type="presParOf" srcId="{6EC900DF-1B98-4D81-BEFA-7295AC8830AB}" destId="{182ED345-056B-412E-A945-2BC0A4C96FF3}" srcOrd="2" destOrd="0" presId="urn:microsoft.com/office/officeart/2005/8/layout/hProcess4"/>
    <dgm:cxn modelId="{683A85A8-B5E3-449A-91E0-41466F48D601}" type="presParOf" srcId="{182ED345-056B-412E-A945-2BC0A4C96FF3}" destId="{03F351A5-F99C-4728-81C2-2A6FA18C05B8}" srcOrd="0" destOrd="0" presId="urn:microsoft.com/office/officeart/2005/8/layout/hProcess4"/>
    <dgm:cxn modelId="{5FD35830-1A41-4546-990B-2E39D505FCB6}" type="presParOf" srcId="{03F351A5-F99C-4728-81C2-2A6FA18C05B8}" destId="{790A80BD-D17D-421E-A538-2FA501206DBC}" srcOrd="0" destOrd="0" presId="urn:microsoft.com/office/officeart/2005/8/layout/hProcess4"/>
    <dgm:cxn modelId="{6D5D318E-CB3E-4AD9-A11F-FAD98A635F74}" type="presParOf" srcId="{03F351A5-F99C-4728-81C2-2A6FA18C05B8}" destId="{F4C2525D-100E-45CB-8ECC-B13D98D2B91D}" srcOrd="1" destOrd="0" presId="urn:microsoft.com/office/officeart/2005/8/layout/hProcess4"/>
    <dgm:cxn modelId="{3520AA7F-FA1E-41BC-92F4-E61CEDFDBE51}" type="presParOf" srcId="{03F351A5-F99C-4728-81C2-2A6FA18C05B8}" destId="{7540C1BF-778C-44F1-A55E-FFBC79235B6C}" srcOrd="2" destOrd="0" presId="urn:microsoft.com/office/officeart/2005/8/layout/hProcess4"/>
    <dgm:cxn modelId="{3F89A6F2-78BC-433E-B845-79B2C9C14AC4}" type="presParOf" srcId="{03F351A5-F99C-4728-81C2-2A6FA18C05B8}" destId="{5EAE8CB4-16E0-4D38-ABA5-1623CD608E45}" srcOrd="3" destOrd="0" presId="urn:microsoft.com/office/officeart/2005/8/layout/hProcess4"/>
    <dgm:cxn modelId="{502F3AD3-CD14-411D-B051-BE4C61072908}" type="presParOf" srcId="{03F351A5-F99C-4728-81C2-2A6FA18C05B8}" destId="{6AC42226-4644-4B98-89DB-85962BEF089D}" srcOrd="4" destOrd="0" presId="urn:microsoft.com/office/officeart/2005/8/layout/hProcess4"/>
    <dgm:cxn modelId="{D0D7DDEF-040D-45EA-8CCD-ED7172FE89C6}" type="presParOf" srcId="{182ED345-056B-412E-A945-2BC0A4C96FF3}" destId="{31565345-0F73-4E43-80E9-3A7D454A30B2}" srcOrd="1" destOrd="0" presId="urn:microsoft.com/office/officeart/2005/8/layout/hProcess4"/>
    <dgm:cxn modelId="{C913A312-9FEC-4726-BC17-D586183BB539}" type="presParOf" srcId="{182ED345-056B-412E-A945-2BC0A4C96FF3}" destId="{DF51E2A2-CF1D-442B-9F57-F1982ED318ED}" srcOrd="2" destOrd="0" presId="urn:microsoft.com/office/officeart/2005/8/layout/hProcess4"/>
    <dgm:cxn modelId="{57323327-64AB-4C56-91CF-21C0052E0298}" type="presParOf" srcId="{DF51E2A2-CF1D-442B-9F57-F1982ED318ED}" destId="{B39E43C7-6D9C-462F-A258-954337C621AF}" srcOrd="0" destOrd="0" presId="urn:microsoft.com/office/officeart/2005/8/layout/hProcess4"/>
    <dgm:cxn modelId="{250361E9-9074-4D51-BC93-DBD7B1D2D8DC}" type="presParOf" srcId="{DF51E2A2-CF1D-442B-9F57-F1982ED318ED}" destId="{C96F755D-64AC-4A94-BA8A-95C976F4667D}" srcOrd="1" destOrd="0" presId="urn:microsoft.com/office/officeart/2005/8/layout/hProcess4"/>
    <dgm:cxn modelId="{0FA1B13C-4072-4A30-81C2-BC2DA10D517D}" type="presParOf" srcId="{DF51E2A2-CF1D-442B-9F57-F1982ED318ED}" destId="{808E5FBC-6CBE-476B-B37C-E1234D944C78}" srcOrd="2" destOrd="0" presId="urn:microsoft.com/office/officeart/2005/8/layout/hProcess4"/>
    <dgm:cxn modelId="{BFEEEE16-74B1-49BC-9C44-A83339295429}" type="presParOf" srcId="{DF51E2A2-CF1D-442B-9F57-F1982ED318ED}" destId="{25B76222-360C-46DE-880C-BF76087D1958}" srcOrd="3" destOrd="0" presId="urn:microsoft.com/office/officeart/2005/8/layout/hProcess4"/>
    <dgm:cxn modelId="{174F35BC-25A8-4038-9010-4E6E6327142F}" type="presParOf" srcId="{DF51E2A2-CF1D-442B-9F57-F1982ED318ED}" destId="{9CB32467-1E7B-42EE-ACFC-5E50D44E039E}" srcOrd="4" destOrd="0" presId="urn:microsoft.com/office/officeart/2005/8/layout/hProcess4"/>
    <dgm:cxn modelId="{F0C512E4-CD14-4D5C-9786-088CBAD635D5}" type="presParOf" srcId="{182ED345-056B-412E-A945-2BC0A4C96FF3}" destId="{A45E4738-531A-4BE8-A1F8-86CA1D210A65}" srcOrd="3" destOrd="0" presId="urn:microsoft.com/office/officeart/2005/8/layout/hProcess4"/>
    <dgm:cxn modelId="{45A252C8-D3DA-49C5-B618-CD678588EC79}" type="presParOf" srcId="{182ED345-056B-412E-A945-2BC0A4C96FF3}" destId="{31D050B5-EEDB-4D29-8975-6BAA99798106}" srcOrd="4" destOrd="0" presId="urn:microsoft.com/office/officeart/2005/8/layout/hProcess4"/>
    <dgm:cxn modelId="{07F7FA2D-CE5D-416E-A9E7-3A445C98B3A3}" type="presParOf" srcId="{31D050B5-EEDB-4D29-8975-6BAA99798106}" destId="{5DF07943-A2FA-40FA-B2AB-E5F3B5F216D3}" srcOrd="0" destOrd="0" presId="urn:microsoft.com/office/officeart/2005/8/layout/hProcess4"/>
    <dgm:cxn modelId="{76D877F8-6A50-4797-B363-56D5B3188884}" type="presParOf" srcId="{31D050B5-EEDB-4D29-8975-6BAA99798106}" destId="{546CA926-3424-4DFF-9EB0-5E16CF66729C}" srcOrd="1" destOrd="0" presId="urn:microsoft.com/office/officeart/2005/8/layout/hProcess4"/>
    <dgm:cxn modelId="{F0989F2D-87E5-4788-950A-32356BE45F90}" type="presParOf" srcId="{31D050B5-EEDB-4D29-8975-6BAA99798106}" destId="{577DABB0-039D-4149-A51D-AD5AD82418DE}" srcOrd="2" destOrd="0" presId="urn:microsoft.com/office/officeart/2005/8/layout/hProcess4"/>
    <dgm:cxn modelId="{8BDCB735-1076-451C-88C6-16D4328DCB63}" type="presParOf" srcId="{31D050B5-EEDB-4D29-8975-6BAA99798106}" destId="{26D5D0B8-F3FB-40E5-BFA6-1D0144ECE965}" srcOrd="3" destOrd="0" presId="urn:microsoft.com/office/officeart/2005/8/layout/hProcess4"/>
    <dgm:cxn modelId="{C8FA60AB-5745-40D8-A793-1B02F866CC40}" type="presParOf" srcId="{31D050B5-EEDB-4D29-8975-6BAA99798106}" destId="{A9D50880-3D96-44A7-971D-72B180FC9806}" srcOrd="4" destOrd="0" presId="urn:microsoft.com/office/officeart/2005/8/layout/hProcess4"/>
    <dgm:cxn modelId="{9B6398FD-5180-43C1-96EA-B0B889F485BA}" type="presParOf" srcId="{182ED345-056B-412E-A945-2BC0A4C96FF3}" destId="{499C57CF-507B-42CA-9F74-3A57751FC13A}" srcOrd="5" destOrd="0" presId="urn:microsoft.com/office/officeart/2005/8/layout/hProcess4"/>
    <dgm:cxn modelId="{920476C2-62F1-4877-91A9-A925BD33B094}" type="presParOf" srcId="{182ED345-056B-412E-A945-2BC0A4C96FF3}" destId="{9BECEDED-B3CF-4BF4-8146-C67E998B89E7}" srcOrd="6" destOrd="0" presId="urn:microsoft.com/office/officeart/2005/8/layout/hProcess4"/>
    <dgm:cxn modelId="{BC0A80A5-B7A0-47D7-AF16-4932F86442FE}" type="presParOf" srcId="{9BECEDED-B3CF-4BF4-8146-C67E998B89E7}" destId="{92DB6A2C-0D7F-4B81-8CD0-962B3B1DF117}" srcOrd="0" destOrd="0" presId="urn:microsoft.com/office/officeart/2005/8/layout/hProcess4"/>
    <dgm:cxn modelId="{00FBB49C-5E8C-47AF-A9F9-88229DCCEF7C}" type="presParOf" srcId="{9BECEDED-B3CF-4BF4-8146-C67E998B89E7}" destId="{6FAE2862-FD6E-4A28-B1A9-4B73AB7996FB}" srcOrd="1" destOrd="0" presId="urn:microsoft.com/office/officeart/2005/8/layout/hProcess4"/>
    <dgm:cxn modelId="{675EC2B8-2C2D-4577-B867-1D39DA34595C}" type="presParOf" srcId="{9BECEDED-B3CF-4BF4-8146-C67E998B89E7}" destId="{AF15C42A-A65F-4E20-835A-6F4E53AD18DE}" srcOrd="2" destOrd="0" presId="urn:microsoft.com/office/officeart/2005/8/layout/hProcess4"/>
    <dgm:cxn modelId="{8489448C-E630-48E2-8F30-2249B491325F}" type="presParOf" srcId="{9BECEDED-B3CF-4BF4-8146-C67E998B89E7}" destId="{2E4AA291-44CB-474D-8611-5A2BC62EBE56}" srcOrd="3" destOrd="0" presId="urn:microsoft.com/office/officeart/2005/8/layout/hProcess4"/>
    <dgm:cxn modelId="{FBD9C3F9-526A-4783-987D-6BC9BAE78248}" type="presParOf" srcId="{9BECEDED-B3CF-4BF4-8146-C67E998B89E7}" destId="{FAB34B4D-FEA2-4BEB-BE30-8F9409237CF4}" srcOrd="4" destOrd="0" presId="urn:microsoft.com/office/officeart/2005/8/layout/hProcess4"/>
  </dgm:cxnLst>
  <dgm:bg/>
  <dgm:whole/>
  <dgm:extLst>
    <a:ext uri="http://schemas.microsoft.com/office/drawing/2008/diagram">
      <dsp:dataModelExt xmlns:dsp="http://schemas.microsoft.com/office/drawing/2008/diagram" relId="rId6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047A5E6-0A87-438E-8B10-C883F75AE062}">
      <dsp:nvSpPr>
        <dsp:cNvPr id="0" name=""/>
        <dsp:cNvSpPr/>
      </dsp:nvSpPr>
      <dsp:spPr>
        <a:xfrm>
          <a:off x="3132" y="1406199"/>
          <a:ext cx="1211535" cy="605767"/>
        </a:xfrm>
        <a:prstGeom prst="roundRect">
          <a:avLst>
            <a:gd name="adj" fmla="val 1000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lv-LV" sz="1000" kern="1200"/>
            <a:t>Galvenie šķēršļi</a:t>
          </a:r>
        </a:p>
      </dsp:txBody>
      <dsp:txXfrm>
        <a:off x="20874" y="1423941"/>
        <a:ext cx="1176051" cy="570283"/>
      </dsp:txXfrm>
    </dsp:sp>
    <dsp:sp modelId="{142F4F35-61D1-4652-878F-91DE4D190E5F}">
      <dsp:nvSpPr>
        <dsp:cNvPr id="0" name=""/>
        <dsp:cNvSpPr/>
      </dsp:nvSpPr>
      <dsp:spPr>
        <a:xfrm rot="17350740">
          <a:off x="719404" y="999201"/>
          <a:ext cx="1475140" cy="26499"/>
        </a:xfrm>
        <a:custGeom>
          <a:avLst/>
          <a:gdLst/>
          <a:ahLst/>
          <a:cxnLst/>
          <a:rect l="0" t="0" r="0" b="0"/>
          <a:pathLst>
            <a:path>
              <a:moveTo>
                <a:pt x="0" y="13249"/>
              </a:moveTo>
              <a:lnTo>
                <a:pt x="1475140" y="13249"/>
              </a:lnTo>
            </a:path>
          </a:pathLst>
        </a:custGeom>
        <a:noFill/>
        <a:ln w="12700" cap="flat" cmpd="sng" algn="ctr">
          <a:solidFill>
            <a:schemeClr val="accent2">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lv-LV" sz="500" kern="1200"/>
        </a:p>
      </dsp:txBody>
      <dsp:txXfrm>
        <a:off x="1420096" y="975572"/>
        <a:ext cx="73757" cy="73757"/>
      </dsp:txXfrm>
    </dsp:sp>
    <dsp:sp modelId="{69D07383-F788-4E83-BCF2-0098AFD82071}">
      <dsp:nvSpPr>
        <dsp:cNvPr id="0" name=""/>
        <dsp:cNvSpPr/>
      </dsp:nvSpPr>
      <dsp:spPr>
        <a:xfrm>
          <a:off x="1699282" y="12934"/>
          <a:ext cx="1211535" cy="605767"/>
        </a:xfrm>
        <a:prstGeom prst="roundRect">
          <a:avLst>
            <a:gd name="adj" fmla="val 10000"/>
          </a:avLst>
        </a:prstGeom>
        <a:gradFill rotWithShape="0">
          <a:gsLst>
            <a:gs pos="0">
              <a:schemeClr val="accent2">
                <a:hueOff val="0"/>
                <a:satOff val="0"/>
                <a:lumOff val="0"/>
                <a:alphaOff val="0"/>
                <a:satMod val="103000"/>
                <a:lumMod val="102000"/>
                <a:tint val="94000"/>
              </a:schemeClr>
            </a:gs>
            <a:gs pos="50000">
              <a:schemeClr val="accent2">
                <a:hueOff val="0"/>
                <a:satOff val="0"/>
                <a:lumOff val="0"/>
                <a:alphaOff val="0"/>
                <a:satMod val="110000"/>
                <a:lumMod val="100000"/>
                <a:shade val="100000"/>
              </a:schemeClr>
            </a:gs>
            <a:gs pos="100000">
              <a:schemeClr val="accent2">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lv-LV" sz="1000" kern="1200"/>
            <a:t>Cilvēkresursi</a:t>
          </a:r>
        </a:p>
      </dsp:txBody>
      <dsp:txXfrm>
        <a:off x="1717024" y="30676"/>
        <a:ext cx="1176051" cy="570283"/>
      </dsp:txXfrm>
    </dsp:sp>
    <dsp:sp modelId="{167CF10D-163C-41D8-B6C1-D2E934A78647}">
      <dsp:nvSpPr>
        <dsp:cNvPr id="0" name=""/>
        <dsp:cNvSpPr/>
      </dsp:nvSpPr>
      <dsp:spPr>
        <a:xfrm rot="18289469">
          <a:off x="1032667" y="1347517"/>
          <a:ext cx="848615" cy="26499"/>
        </a:xfrm>
        <a:custGeom>
          <a:avLst/>
          <a:gdLst/>
          <a:ahLst/>
          <a:cxnLst/>
          <a:rect l="0" t="0" r="0" b="0"/>
          <a:pathLst>
            <a:path>
              <a:moveTo>
                <a:pt x="0" y="13249"/>
              </a:moveTo>
              <a:lnTo>
                <a:pt x="848615" y="13249"/>
              </a:lnTo>
            </a:path>
          </a:pathLst>
        </a:custGeom>
        <a:noFill/>
        <a:ln w="12700" cap="flat" cmpd="sng" algn="ctr">
          <a:solidFill>
            <a:schemeClr val="accent2">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lv-LV" sz="500" kern="1200"/>
        </a:p>
      </dsp:txBody>
      <dsp:txXfrm>
        <a:off x="1435759" y="1339551"/>
        <a:ext cx="42430" cy="42430"/>
      </dsp:txXfrm>
    </dsp:sp>
    <dsp:sp modelId="{A4EBA734-4FE7-4BAD-89EB-FADAB86262BB}">
      <dsp:nvSpPr>
        <dsp:cNvPr id="0" name=""/>
        <dsp:cNvSpPr/>
      </dsp:nvSpPr>
      <dsp:spPr>
        <a:xfrm>
          <a:off x="1699282" y="709566"/>
          <a:ext cx="1211535" cy="605767"/>
        </a:xfrm>
        <a:prstGeom prst="roundRect">
          <a:avLst>
            <a:gd name="adj" fmla="val 10000"/>
          </a:avLst>
        </a:prstGeom>
        <a:gradFill rotWithShape="0">
          <a:gsLst>
            <a:gs pos="0">
              <a:schemeClr val="accent2">
                <a:hueOff val="0"/>
                <a:satOff val="0"/>
                <a:lumOff val="0"/>
                <a:alphaOff val="0"/>
                <a:satMod val="103000"/>
                <a:lumMod val="102000"/>
                <a:tint val="94000"/>
              </a:schemeClr>
            </a:gs>
            <a:gs pos="50000">
              <a:schemeClr val="accent2">
                <a:hueOff val="0"/>
                <a:satOff val="0"/>
                <a:lumOff val="0"/>
                <a:alphaOff val="0"/>
                <a:satMod val="110000"/>
                <a:lumMod val="100000"/>
                <a:shade val="100000"/>
              </a:schemeClr>
            </a:gs>
            <a:gs pos="100000">
              <a:schemeClr val="accent2">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lv-LV" sz="1000" kern="1200"/>
            <a:t>P&amp;A&amp;I pakalpojumu un infrastruktūras pieejamība</a:t>
          </a:r>
        </a:p>
      </dsp:txBody>
      <dsp:txXfrm>
        <a:off x="1717024" y="727308"/>
        <a:ext cx="1176051" cy="570283"/>
      </dsp:txXfrm>
    </dsp:sp>
    <dsp:sp modelId="{A1F108C3-70E6-493B-B5D6-217C9F9FD98D}">
      <dsp:nvSpPr>
        <dsp:cNvPr id="0" name=""/>
        <dsp:cNvSpPr/>
      </dsp:nvSpPr>
      <dsp:spPr>
        <a:xfrm>
          <a:off x="1214668" y="1695834"/>
          <a:ext cx="484614" cy="26499"/>
        </a:xfrm>
        <a:custGeom>
          <a:avLst/>
          <a:gdLst/>
          <a:ahLst/>
          <a:cxnLst/>
          <a:rect l="0" t="0" r="0" b="0"/>
          <a:pathLst>
            <a:path>
              <a:moveTo>
                <a:pt x="0" y="13249"/>
              </a:moveTo>
              <a:lnTo>
                <a:pt x="484614" y="13249"/>
              </a:lnTo>
            </a:path>
          </a:pathLst>
        </a:custGeom>
        <a:noFill/>
        <a:ln w="12700" cap="flat" cmpd="sng" algn="ctr">
          <a:solidFill>
            <a:schemeClr val="accent2">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lv-LV" sz="500" kern="1200"/>
        </a:p>
      </dsp:txBody>
      <dsp:txXfrm>
        <a:off x="1444859" y="1696968"/>
        <a:ext cx="24230" cy="24230"/>
      </dsp:txXfrm>
    </dsp:sp>
    <dsp:sp modelId="{9B83ED3D-05BE-4D13-94C9-EC7D8B6FC33D}">
      <dsp:nvSpPr>
        <dsp:cNvPr id="0" name=""/>
        <dsp:cNvSpPr/>
      </dsp:nvSpPr>
      <dsp:spPr>
        <a:xfrm>
          <a:off x="1699282" y="1406199"/>
          <a:ext cx="1211535" cy="605767"/>
        </a:xfrm>
        <a:prstGeom prst="roundRect">
          <a:avLst>
            <a:gd name="adj" fmla="val 10000"/>
          </a:avLst>
        </a:prstGeom>
        <a:gradFill rotWithShape="0">
          <a:gsLst>
            <a:gs pos="0">
              <a:schemeClr val="accent2">
                <a:hueOff val="0"/>
                <a:satOff val="0"/>
                <a:lumOff val="0"/>
                <a:alphaOff val="0"/>
                <a:satMod val="103000"/>
                <a:lumMod val="102000"/>
                <a:tint val="94000"/>
              </a:schemeClr>
            </a:gs>
            <a:gs pos="50000">
              <a:schemeClr val="accent2">
                <a:hueOff val="0"/>
                <a:satOff val="0"/>
                <a:lumOff val="0"/>
                <a:alphaOff val="0"/>
                <a:satMod val="110000"/>
                <a:lumMod val="100000"/>
                <a:shade val="100000"/>
              </a:schemeClr>
            </a:gs>
            <a:gs pos="100000">
              <a:schemeClr val="accent2">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lv-LV" sz="1000" kern="1200"/>
            <a:t>Mazs iekšējais tirgus</a:t>
          </a:r>
        </a:p>
      </dsp:txBody>
      <dsp:txXfrm>
        <a:off x="1717024" y="1423941"/>
        <a:ext cx="1176051" cy="570283"/>
      </dsp:txXfrm>
    </dsp:sp>
    <dsp:sp modelId="{7C99AE60-D15A-49D5-9663-E0FDEE18117C}">
      <dsp:nvSpPr>
        <dsp:cNvPr id="0" name=""/>
        <dsp:cNvSpPr/>
      </dsp:nvSpPr>
      <dsp:spPr>
        <a:xfrm rot="3310531">
          <a:off x="1032667" y="2044150"/>
          <a:ext cx="848615" cy="26499"/>
        </a:xfrm>
        <a:custGeom>
          <a:avLst/>
          <a:gdLst/>
          <a:ahLst/>
          <a:cxnLst/>
          <a:rect l="0" t="0" r="0" b="0"/>
          <a:pathLst>
            <a:path>
              <a:moveTo>
                <a:pt x="0" y="13249"/>
              </a:moveTo>
              <a:lnTo>
                <a:pt x="848615" y="13249"/>
              </a:lnTo>
            </a:path>
          </a:pathLst>
        </a:custGeom>
        <a:noFill/>
        <a:ln w="12700" cap="flat" cmpd="sng" algn="ctr">
          <a:solidFill>
            <a:schemeClr val="accent2">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lv-LV" sz="500" kern="1200"/>
        </a:p>
      </dsp:txBody>
      <dsp:txXfrm>
        <a:off x="1435759" y="2036184"/>
        <a:ext cx="42430" cy="42430"/>
      </dsp:txXfrm>
    </dsp:sp>
    <dsp:sp modelId="{FD897257-5321-48CD-AB05-5004AEE7E492}">
      <dsp:nvSpPr>
        <dsp:cNvPr id="0" name=""/>
        <dsp:cNvSpPr/>
      </dsp:nvSpPr>
      <dsp:spPr>
        <a:xfrm>
          <a:off x="1699282" y="2102832"/>
          <a:ext cx="1211535" cy="605767"/>
        </a:xfrm>
        <a:prstGeom prst="roundRect">
          <a:avLst>
            <a:gd name="adj" fmla="val 10000"/>
          </a:avLst>
        </a:prstGeom>
        <a:gradFill rotWithShape="0">
          <a:gsLst>
            <a:gs pos="0">
              <a:schemeClr val="accent2">
                <a:hueOff val="0"/>
                <a:satOff val="0"/>
                <a:lumOff val="0"/>
                <a:alphaOff val="0"/>
                <a:satMod val="103000"/>
                <a:lumMod val="102000"/>
                <a:tint val="94000"/>
              </a:schemeClr>
            </a:gs>
            <a:gs pos="50000">
              <a:schemeClr val="accent2">
                <a:hueOff val="0"/>
                <a:satOff val="0"/>
                <a:lumOff val="0"/>
                <a:alphaOff val="0"/>
                <a:satMod val="110000"/>
                <a:lumMod val="100000"/>
                <a:shade val="100000"/>
              </a:schemeClr>
            </a:gs>
            <a:gs pos="100000">
              <a:schemeClr val="accent2">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lv-LV" sz="1000" kern="1200"/>
            <a:t>Finansējuma pieejamība MVU</a:t>
          </a:r>
        </a:p>
      </dsp:txBody>
      <dsp:txXfrm>
        <a:off x="1717024" y="2120574"/>
        <a:ext cx="1176051" cy="570283"/>
      </dsp:txXfrm>
    </dsp:sp>
    <dsp:sp modelId="{058B6260-D269-41C4-942B-0FFCA84C2764}">
      <dsp:nvSpPr>
        <dsp:cNvPr id="0" name=""/>
        <dsp:cNvSpPr/>
      </dsp:nvSpPr>
      <dsp:spPr>
        <a:xfrm rot="4249260">
          <a:off x="719404" y="2392466"/>
          <a:ext cx="1475140" cy="26499"/>
        </a:xfrm>
        <a:custGeom>
          <a:avLst/>
          <a:gdLst/>
          <a:ahLst/>
          <a:cxnLst/>
          <a:rect l="0" t="0" r="0" b="0"/>
          <a:pathLst>
            <a:path>
              <a:moveTo>
                <a:pt x="0" y="13249"/>
              </a:moveTo>
              <a:lnTo>
                <a:pt x="1475140" y="13249"/>
              </a:lnTo>
            </a:path>
          </a:pathLst>
        </a:custGeom>
        <a:noFill/>
        <a:ln w="12700" cap="flat" cmpd="sng" algn="ctr">
          <a:solidFill>
            <a:schemeClr val="accent2">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lv-LV" sz="500" kern="1200"/>
        </a:p>
      </dsp:txBody>
      <dsp:txXfrm>
        <a:off x="1420096" y="2368837"/>
        <a:ext cx="73757" cy="73757"/>
      </dsp:txXfrm>
    </dsp:sp>
    <dsp:sp modelId="{5EEFDF36-7A51-43EC-9903-49E46B04FEE8}">
      <dsp:nvSpPr>
        <dsp:cNvPr id="0" name=""/>
        <dsp:cNvSpPr/>
      </dsp:nvSpPr>
      <dsp:spPr>
        <a:xfrm>
          <a:off x="1699282" y="2799465"/>
          <a:ext cx="1211535" cy="605767"/>
        </a:xfrm>
        <a:prstGeom prst="roundRect">
          <a:avLst>
            <a:gd name="adj" fmla="val 10000"/>
          </a:avLst>
        </a:prstGeom>
        <a:gradFill rotWithShape="0">
          <a:gsLst>
            <a:gs pos="0">
              <a:schemeClr val="accent2">
                <a:hueOff val="0"/>
                <a:satOff val="0"/>
                <a:lumOff val="0"/>
                <a:alphaOff val="0"/>
                <a:satMod val="103000"/>
                <a:lumMod val="102000"/>
                <a:tint val="94000"/>
              </a:schemeClr>
            </a:gs>
            <a:gs pos="50000">
              <a:schemeClr val="accent2">
                <a:hueOff val="0"/>
                <a:satOff val="0"/>
                <a:lumOff val="0"/>
                <a:alphaOff val="0"/>
                <a:satMod val="110000"/>
                <a:lumMod val="100000"/>
                <a:shade val="100000"/>
              </a:schemeClr>
            </a:gs>
            <a:gs pos="100000">
              <a:schemeClr val="accent2">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lv-LV" sz="1000" kern="1200"/>
            <a:t>Sektoriem specifiski šķēršļi</a:t>
          </a:r>
        </a:p>
      </dsp:txBody>
      <dsp:txXfrm>
        <a:off x="1717024" y="2817207"/>
        <a:ext cx="1176051" cy="570283"/>
      </dsp:txXfrm>
    </dsp:sp>
    <dsp:sp modelId="{D38C7516-9B97-43B8-96B8-D7983570AB13}">
      <dsp:nvSpPr>
        <dsp:cNvPr id="0" name=""/>
        <dsp:cNvSpPr/>
      </dsp:nvSpPr>
      <dsp:spPr>
        <a:xfrm rot="18289469">
          <a:off x="2728817" y="2740783"/>
          <a:ext cx="848615" cy="26499"/>
        </a:xfrm>
        <a:custGeom>
          <a:avLst/>
          <a:gdLst/>
          <a:ahLst/>
          <a:cxnLst/>
          <a:rect l="0" t="0" r="0" b="0"/>
          <a:pathLst>
            <a:path>
              <a:moveTo>
                <a:pt x="0" y="13249"/>
              </a:moveTo>
              <a:lnTo>
                <a:pt x="848615" y="13249"/>
              </a:lnTo>
            </a:path>
          </a:pathLst>
        </a:custGeom>
        <a:noFill/>
        <a:ln w="12700" cap="flat" cmpd="sng" algn="ctr">
          <a:solidFill>
            <a:schemeClr val="accent3">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lv-LV" sz="500" kern="1200"/>
        </a:p>
      </dsp:txBody>
      <dsp:txXfrm>
        <a:off x="3131909" y="2732817"/>
        <a:ext cx="42430" cy="42430"/>
      </dsp:txXfrm>
    </dsp:sp>
    <dsp:sp modelId="{F4FFA73D-A88D-4FB0-9AEB-E1B4B2C6B2F9}">
      <dsp:nvSpPr>
        <dsp:cNvPr id="0" name=""/>
        <dsp:cNvSpPr/>
      </dsp:nvSpPr>
      <dsp:spPr>
        <a:xfrm>
          <a:off x="3395431" y="2102832"/>
          <a:ext cx="1211535" cy="605767"/>
        </a:xfrm>
        <a:prstGeom prst="roundRect">
          <a:avLst>
            <a:gd name="adj" fmla="val 10000"/>
          </a:avLst>
        </a:prstGeom>
        <a:gradFill rotWithShape="0">
          <a:gsLst>
            <a:gs pos="0">
              <a:schemeClr val="accent3">
                <a:hueOff val="0"/>
                <a:satOff val="0"/>
                <a:lumOff val="0"/>
                <a:alphaOff val="0"/>
                <a:satMod val="103000"/>
                <a:lumMod val="102000"/>
                <a:tint val="94000"/>
              </a:schemeClr>
            </a:gs>
            <a:gs pos="50000">
              <a:schemeClr val="accent3">
                <a:hueOff val="0"/>
                <a:satOff val="0"/>
                <a:lumOff val="0"/>
                <a:alphaOff val="0"/>
                <a:satMod val="110000"/>
                <a:lumMod val="100000"/>
                <a:shade val="100000"/>
              </a:schemeClr>
            </a:gs>
            <a:gs pos="100000">
              <a:schemeClr val="accent3">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lv-LV" sz="1000" kern="1200"/>
            <a:t>Zāļu reģistrācija</a:t>
          </a:r>
        </a:p>
      </dsp:txBody>
      <dsp:txXfrm>
        <a:off x="3413173" y="2120574"/>
        <a:ext cx="1176051" cy="570283"/>
      </dsp:txXfrm>
    </dsp:sp>
    <dsp:sp modelId="{534C286B-D641-4B73-A615-DD60184E7B99}">
      <dsp:nvSpPr>
        <dsp:cNvPr id="0" name=""/>
        <dsp:cNvSpPr/>
      </dsp:nvSpPr>
      <dsp:spPr>
        <a:xfrm>
          <a:off x="2910817" y="3089099"/>
          <a:ext cx="484614" cy="26499"/>
        </a:xfrm>
        <a:custGeom>
          <a:avLst/>
          <a:gdLst/>
          <a:ahLst/>
          <a:cxnLst/>
          <a:rect l="0" t="0" r="0" b="0"/>
          <a:pathLst>
            <a:path>
              <a:moveTo>
                <a:pt x="0" y="13249"/>
              </a:moveTo>
              <a:lnTo>
                <a:pt x="484614" y="13249"/>
              </a:lnTo>
            </a:path>
          </a:pathLst>
        </a:custGeom>
        <a:noFill/>
        <a:ln w="12700" cap="flat" cmpd="sng" algn="ctr">
          <a:solidFill>
            <a:schemeClr val="accent3">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lv-LV" sz="500" kern="1200"/>
        </a:p>
      </dsp:txBody>
      <dsp:txXfrm>
        <a:off x="3141009" y="3090233"/>
        <a:ext cx="24230" cy="24230"/>
      </dsp:txXfrm>
    </dsp:sp>
    <dsp:sp modelId="{7B1C81D0-8B04-4ABB-B89C-60E5731D46EB}">
      <dsp:nvSpPr>
        <dsp:cNvPr id="0" name=""/>
        <dsp:cNvSpPr/>
      </dsp:nvSpPr>
      <dsp:spPr>
        <a:xfrm>
          <a:off x="3395431" y="2799465"/>
          <a:ext cx="1211535" cy="605767"/>
        </a:xfrm>
        <a:prstGeom prst="roundRect">
          <a:avLst>
            <a:gd name="adj" fmla="val 10000"/>
          </a:avLst>
        </a:prstGeom>
        <a:gradFill rotWithShape="0">
          <a:gsLst>
            <a:gs pos="0">
              <a:schemeClr val="accent3">
                <a:hueOff val="0"/>
                <a:satOff val="0"/>
                <a:lumOff val="0"/>
                <a:alphaOff val="0"/>
                <a:satMod val="103000"/>
                <a:lumMod val="102000"/>
                <a:tint val="94000"/>
              </a:schemeClr>
            </a:gs>
            <a:gs pos="50000">
              <a:schemeClr val="accent3">
                <a:hueOff val="0"/>
                <a:satOff val="0"/>
                <a:lumOff val="0"/>
                <a:alphaOff val="0"/>
                <a:satMod val="110000"/>
                <a:lumMod val="100000"/>
                <a:shade val="100000"/>
              </a:schemeClr>
            </a:gs>
            <a:gs pos="100000">
              <a:schemeClr val="accent3">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lv-LV" sz="1000" kern="1200"/>
            <a:t>Lēna atdeve no jauniem produktiem</a:t>
          </a:r>
        </a:p>
      </dsp:txBody>
      <dsp:txXfrm>
        <a:off x="3413173" y="2817207"/>
        <a:ext cx="1176051" cy="570283"/>
      </dsp:txXfrm>
    </dsp:sp>
    <dsp:sp modelId="{3C05DDA7-E700-4991-919E-AC23A0431405}">
      <dsp:nvSpPr>
        <dsp:cNvPr id="0" name=""/>
        <dsp:cNvSpPr/>
      </dsp:nvSpPr>
      <dsp:spPr>
        <a:xfrm rot="3310531">
          <a:off x="2728817" y="3437416"/>
          <a:ext cx="848615" cy="26499"/>
        </a:xfrm>
        <a:custGeom>
          <a:avLst/>
          <a:gdLst/>
          <a:ahLst/>
          <a:cxnLst/>
          <a:rect l="0" t="0" r="0" b="0"/>
          <a:pathLst>
            <a:path>
              <a:moveTo>
                <a:pt x="0" y="13249"/>
              </a:moveTo>
              <a:lnTo>
                <a:pt x="848615" y="13249"/>
              </a:lnTo>
            </a:path>
          </a:pathLst>
        </a:custGeom>
        <a:noFill/>
        <a:ln w="12700" cap="flat" cmpd="sng" algn="ctr">
          <a:solidFill>
            <a:schemeClr val="accent3">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lv-LV" sz="500" kern="1200"/>
        </a:p>
      </dsp:txBody>
      <dsp:txXfrm>
        <a:off x="3131909" y="3429450"/>
        <a:ext cx="42430" cy="42430"/>
      </dsp:txXfrm>
    </dsp:sp>
    <dsp:sp modelId="{5576AD32-1ABC-462E-B457-3936F1331410}">
      <dsp:nvSpPr>
        <dsp:cNvPr id="0" name=""/>
        <dsp:cNvSpPr/>
      </dsp:nvSpPr>
      <dsp:spPr>
        <a:xfrm>
          <a:off x="3395431" y="3496098"/>
          <a:ext cx="1211535" cy="605767"/>
        </a:xfrm>
        <a:prstGeom prst="roundRect">
          <a:avLst>
            <a:gd name="adj" fmla="val 10000"/>
          </a:avLst>
        </a:prstGeom>
        <a:gradFill rotWithShape="0">
          <a:gsLst>
            <a:gs pos="0">
              <a:schemeClr val="accent3">
                <a:hueOff val="0"/>
                <a:satOff val="0"/>
                <a:lumOff val="0"/>
                <a:alphaOff val="0"/>
                <a:satMod val="103000"/>
                <a:lumMod val="102000"/>
                <a:tint val="94000"/>
              </a:schemeClr>
            </a:gs>
            <a:gs pos="50000">
              <a:schemeClr val="accent3">
                <a:hueOff val="0"/>
                <a:satOff val="0"/>
                <a:lumOff val="0"/>
                <a:alphaOff val="0"/>
                <a:satMod val="110000"/>
                <a:lumMod val="100000"/>
                <a:shade val="100000"/>
              </a:schemeClr>
            </a:gs>
            <a:gs pos="100000">
              <a:schemeClr val="accent3">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lv-LV" sz="1000" kern="1200"/>
            <a:t>Enerģijas cena</a:t>
          </a:r>
        </a:p>
      </dsp:txBody>
      <dsp:txXfrm>
        <a:off x="3413173" y="3513840"/>
        <a:ext cx="1176051" cy="570283"/>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91C016E-D6E9-4BCB-8193-84D7F803D768}">
      <dsp:nvSpPr>
        <dsp:cNvPr id="0" name=""/>
        <dsp:cNvSpPr/>
      </dsp:nvSpPr>
      <dsp:spPr>
        <a:xfrm>
          <a:off x="1082" y="1014638"/>
          <a:ext cx="1237347" cy="618673"/>
        </a:xfrm>
        <a:prstGeom prst="roundRect">
          <a:avLst>
            <a:gd name="adj" fmla="val 1000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lv-LV" sz="1200" kern="1200"/>
            <a:t>Nozares attīstības vīzija</a:t>
          </a:r>
        </a:p>
      </dsp:txBody>
      <dsp:txXfrm>
        <a:off x="19202" y="1032758"/>
        <a:ext cx="1201107" cy="582433"/>
      </dsp:txXfrm>
    </dsp:sp>
    <dsp:sp modelId="{8197A3ED-1B82-44F4-803F-E30ED5FB9582}">
      <dsp:nvSpPr>
        <dsp:cNvPr id="0" name=""/>
        <dsp:cNvSpPr/>
      </dsp:nvSpPr>
      <dsp:spPr>
        <a:xfrm rot="18289469">
          <a:off x="1052552" y="947209"/>
          <a:ext cx="866695" cy="42055"/>
        </a:xfrm>
        <a:custGeom>
          <a:avLst/>
          <a:gdLst/>
          <a:ahLst/>
          <a:cxnLst/>
          <a:rect l="0" t="0" r="0" b="0"/>
          <a:pathLst>
            <a:path>
              <a:moveTo>
                <a:pt x="0" y="21027"/>
              </a:moveTo>
              <a:lnTo>
                <a:pt x="866695" y="21027"/>
              </a:lnTo>
            </a:path>
          </a:pathLst>
        </a:custGeom>
        <a:noFill/>
        <a:ln w="12700" cap="flat" cmpd="sng" algn="ctr">
          <a:solidFill>
            <a:schemeClr val="accent2">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lv-LV" sz="500" kern="1200"/>
        </a:p>
      </dsp:txBody>
      <dsp:txXfrm>
        <a:off x="1464232" y="946570"/>
        <a:ext cx="43334" cy="43334"/>
      </dsp:txXfrm>
    </dsp:sp>
    <dsp:sp modelId="{D7F02F58-248B-4AC8-BECF-C595D3205C4B}">
      <dsp:nvSpPr>
        <dsp:cNvPr id="0" name=""/>
        <dsp:cNvSpPr/>
      </dsp:nvSpPr>
      <dsp:spPr>
        <a:xfrm>
          <a:off x="1733369" y="303163"/>
          <a:ext cx="1237347" cy="618673"/>
        </a:xfrm>
        <a:prstGeom prst="roundRect">
          <a:avLst>
            <a:gd name="adj" fmla="val 10000"/>
          </a:avLst>
        </a:prstGeom>
        <a:gradFill rotWithShape="0">
          <a:gsLst>
            <a:gs pos="0">
              <a:schemeClr val="accent2">
                <a:hueOff val="0"/>
                <a:satOff val="0"/>
                <a:lumOff val="0"/>
                <a:alphaOff val="0"/>
                <a:satMod val="103000"/>
                <a:lumMod val="102000"/>
                <a:tint val="94000"/>
              </a:schemeClr>
            </a:gs>
            <a:gs pos="50000">
              <a:schemeClr val="accent2">
                <a:hueOff val="0"/>
                <a:satOff val="0"/>
                <a:lumOff val="0"/>
                <a:alphaOff val="0"/>
                <a:satMod val="110000"/>
                <a:lumMod val="100000"/>
                <a:shade val="100000"/>
              </a:schemeClr>
            </a:gs>
            <a:gs pos="100000">
              <a:schemeClr val="accent2">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lv-LV" sz="1200" kern="1200"/>
            <a:t>Nišu speciālistu zeme</a:t>
          </a:r>
        </a:p>
      </dsp:txBody>
      <dsp:txXfrm>
        <a:off x="1751489" y="321283"/>
        <a:ext cx="1201107" cy="582433"/>
      </dsp:txXfrm>
    </dsp:sp>
    <dsp:sp modelId="{658C74AD-D597-4F14-8F4F-85B7F273CF69}">
      <dsp:nvSpPr>
        <dsp:cNvPr id="0" name=""/>
        <dsp:cNvSpPr/>
      </dsp:nvSpPr>
      <dsp:spPr>
        <a:xfrm>
          <a:off x="1238430" y="1302947"/>
          <a:ext cx="494939" cy="42055"/>
        </a:xfrm>
        <a:custGeom>
          <a:avLst/>
          <a:gdLst/>
          <a:ahLst/>
          <a:cxnLst/>
          <a:rect l="0" t="0" r="0" b="0"/>
          <a:pathLst>
            <a:path>
              <a:moveTo>
                <a:pt x="0" y="21027"/>
              </a:moveTo>
              <a:lnTo>
                <a:pt x="494939" y="21027"/>
              </a:lnTo>
            </a:path>
          </a:pathLst>
        </a:custGeom>
        <a:noFill/>
        <a:ln w="12700" cap="flat" cmpd="sng" algn="ctr">
          <a:solidFill>
            <a:schemeClr val="accent2">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lv-LV" sz="500" kern="1200"/>
        </a:p>
      </dsp:txBody>
      <dsp:txXfrm>
        <a:off x="1473526" y="1311601"/>
        <a:ext cx="24746" cy="24746"/>
      </dsp:txXfrm>
    </dsp:sp>
    <dsp:sp modelId="{DF0DE7C3-FD5B-4C43-9730-A57086A5A671}">
      <dsp:nvSpPr>
        <dsp:cNvPr id="0" name=""/>
        <dsp:cNvSpPr/>
      </dsp:nvSpPr>
      <dsp:spPr>
        <a:xfrm>
          <a:off x="1733369" y="1014638"/>
          <a:ext cx="1237347" cy="618673"/>
        </a:xfrm>
        <a:prstGeom prst="roundRect">
          <a:avLst>
            <a:gd name="adj" fmla="val 10000"/>
          </a:avLst>
        </a:prstGeom>
        <a:gradFill rotWithShape="0">
          <a:gsLst>
            <a:gs pos="0">
              <a:schemeClr val="accent2">
                <a:hueOff val="0"/>
                <a:satOff val="0"/>
                <a:lumOff val="0"/>
                <a:alphaOff val="0"/>
                <a:satMod val="103000"/>
                <a:lumMod val="102000"/>
                <a:tint val="94000"/>
              </a:schemeClr>
            </a:gs>
            <a:gs pos="50000">
              <a:schemeClr val="accent2">
                <a:hueOff val="0"/>
                <a:satOff val="0"/>
                <a:lumOff val="0"/>
                <a:alphaOff val="0"/>
                <a:satMod val="110000"/>
                <a:lumMod val="100000"/>
                <a:shade val="100000"/>
              </a:schemeClr>
            </a:gs>
            <a:gs pos="100000">
              <a:schemeClr val="accent2">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lv-LV" sz="1200" kern="1200"/>
            <a:t>Inovāciju laboratorija</a:t>
          </a:r>
        </a:p>
      </dsp:txBody>
      <dsp:txXfrm>
        <a:off x="1751489" y="1032758"/>
        <a:ext cx="1201107" cy="582433"/>
      </dsp:txXfrm>
    </dsp:sp>
    <dsp:sp modelId="{1C12CD4C-CEE4-41A1-B1F5-777A2CF7D87A}">
      <dsp:nvSpPr>
        <dsp:cNvPr id="0" name=""/>
        <dsp:cNvSpPr/>
      </dsp:nvSpPr>
      <dsp:spPr>
        <a:xfrm rot="3310531">
          <a:off x="1052552" y="1658684"/>
          <a:ext cx="866695" cy="42055"/>
        </a:xfrm>
        <a:custGeom>
          <a:avLst/>
          <a:gdLst/>
          <a:ahLst/>
          <a:cxnLst/>
          <a:rect l="0" t="0" r="0" b="0"/>
          <a:pathLst>
            <a:path>
              <a:moveTo>
                <a:pt x="0" y="21027"/>
              </a:moveTo>
              <a:lnTo>
                <a:pt x="866695" y="21027"/>
              </a:lnTo>
            </a:path>
          </a:pathLst>
        </a:custGeom>
        <a:noFill/>
        <a:ln w="12700" cap="flat" cmpd="sng" algn="ctr">
          <a:solidFill>
            <a:schemeClr val="accent2">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lv-LV" sz="500" kern="1200"/>
        </a:p>
      </dsp:txBody>
      <dsp:txXfrm>
        <a:off x="1464232" y="1658045"/>
        <a:ext cx="43334" cy="43334"/>
      </dsp:txXfrm>
    </dsp:sp>
    <dsp:sp modelId="{357F59B5-E91E-4E40-9811-0748CCB149DE}">
      <dsp:nvSpPr>
        <dsp:cNvPr id="0" name=""/>
        <dsp:cNvSpPr/>
      </dsp:nvSpPr>
      <dsp:spPr>
        <a:xfrm>
          <a:off x="1733369" y="1726113"/>
          <a:ext cx="1237347" cy="618673"/>
        </a:xfrm>
        <a:prstGeom prst="roundRect">
          <a:avLst>
            <a:gd name="adj" fmla="val 10000"/>
          </a:avLst>
        </a:prstGeom>
        <a:gradFill rotWithShape="0">
          <a:gsLst>
            <a:gs pos="0">
              <a:schemeClr val="accent2">
                <a:hueOff val="0"/>
                <a:satOff val="0"/>
                <a:lumOff val="0"/>
                <a:alphaOff val="0"/>
                <a:satMod val="103000"/>
                <a:lumMod val="102000"/>
                <a:tint val="94000"/>
              </a:schemeClr>
            </a:gs>
            <a:gs pos="50000">
              <a:schemeClr val="accent2">
                <a:hueOff val="0"/>
                <a:satOff val="0"/>
                <a:lumOff val="0"/>
                <a:alphaOff val="0"/>
                <a:satMod val="110000"/>
                <a:lumMod val="100000"/>
                <a:shade val="100000"/>
              </a:schemeClr>
            </a:gs>
            <a:gs pos="100000">
              <a:schemeClr val="accent2">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lv-LV" sz="1200" kern="1200"/>
            <a:t>Industrijas talantu karjeras starta punkts</a:t>
          </a:r>
        </a:p>
      </dsp:txBody>
      <dsp:txXfrm>
        <a:off x="1751489" y="1744233"/>
        <a:ext cx="1201107" cy="582433"/>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2782DA0-E6C2-4664-9531-4764A21CB6A9}">
      <dsp:nvSpPr>
        <dsp:cNvPr id="0" name=""/>
        <dsp:cNvSpPr/>
      </dsp:nvSpPr>
      <dsp:spPr>
        <a:xfrm>
          <a:off x="2194560" y="0"/>
          <a:ext cx="1097280" cy="640080"/>
        </a:xfrm>
        <a:prstGeom prst="trapezoid">
          <a:avLst>
            <a:gd name="adj" fmla="val 85714"/>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lv-LV" sz="1100" kern="1200"/>
            <a:t>Tīklošanās</a:t>
          </a:r>
          <a:endParaRPr lang="en-US" sz="1100" kern="1200"/>
        </a:p>
      </dsp:txBody>
      <dsp:txXfrm>
        <a:off x="2194560" y="0"/>
        <a:ext cx="1097280" cy="640080"/>
      </dsp:txXfrm>
    </dsp:sp>
    <dsp:sp modelId="{6389C4ED-AE9E-4BAD-95C5-D07A516FC46B}">
      <dsp:nvSpPr>
        <dsp:cNvPr id="0" name=""/>
        <dsp:cNvSpPr/>
      </dsp:nvSpPr>
      <dsp:spPr>
        <a:xfrm>
          <a:off x="1645920" y="640080"/>
          <a:ext cx="2194560" cy="640080"/>
        </a:xfrm>
        <a:prstGeom prst="trapezoid">
          <a:avLst>
            <a:gd name="adj" fmla="val 85714"/>
          </a:avLst>
        </a:prstGeom>
        <a:solidFill>
          <a:schemeClr val="accent3">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lv-LV" sz="1100" kern="1200"/>
            <a:t>Inovāciju konsultācijas un birokrātiju mazinošas IT sistēmas</a:t>
          </a:r>
          <a:endParaRPr lang="en-US" sz="1100" kern="1200"/>
        </a:p>
      </dsp:txBody>
      <dsp:txXfrm>
        <a:off x="2029968" y="640080"/>
        <a:ext cx="1426464" cy="640080"/>
      </dsp:txXfrm>
    </dsp:sp>
    <dsp:sp modelId="{59BC6F3C-CA52-4AFD-B9A3-3C99D741281C}">
      <dsp:nvSpPr>
        <dsp:cNvPr id="0" name=""/>
        <dsp:cNvSpPr/>
      </dsp:nvSpPr>
      <dsp:spPr>
        <a:xfrm>
          <a:off x="1097280" y="1280160"/>
          <a:ext cx="3291840" cy="640080"/>
        </a:xfrm>
        <a:prstGeom prst="trapezoid">
          <a:avLst>
            <a:gd name="adj" fmla="val 85714"/>
          </a:avLst>
        </a:prstGeom>
        <a:solidFill>
          <a:schemeClr val="accent4">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lv-LV" sz="1100" kern="1200"/>
            <a:t>Nenoteiktības ietekmi kontrolējoša risku vadība</a:t>
          </a:r>
          <a:endParaRPr lang="en-US" sz="1100" kern="1200"/>
        </a:p>
      </dsp:txBody>
      <dsp:txXfrm>
        <a:off x="1673352" y="1280160"/>
        <a:ext cx="2139696" cy="640080"/>
      </dsp:txXfrm>
    </dsp:sp>
    <dsp:sp modelId="{02765E77-B4A1-4A26-AA60-C75510B09B84}">
      <dsp:nvSpPr>
        <dsp:cNvPr id="0" name=""/>
        <dsp:cNvSpPr/>
      </dsp:nvSpPr>
      <dsp:spPr>
        <a:xfrm>
          <a:off x="548640" y="1920240"/>
          <a:ext cx="4389120" cy="640080"/>
        </a:xfrm>
        <a:prstGeom prst="trapezoid">
          <a:avLst>
            <a:gd name="adj" fmla="val 85714"/>
          </a:avLst>
        </a:prstGeom>
        <a:solidFill>
          <a:schemeClr val="accent5">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lv-LV" sz="1100" kern="1200"/>
            <a:t>Inovācijas atbalstoša projektu izpildes uzraudzība</a:t>
          </a:r>
          <a:endParaRPr lang="en-US" sz="1100" kern="1200"/>
        </a:p>
      </dsp:txBody>
      <dsp:txXfrm>
        <a:off x="1316735" y="1920240"/>
        <a:ext cx="2852928" cy="640080"/>
      </dsp:txXfrm>
    </dsp:sp>
    <dsp:sp modelId="{5706BA8B-EBE2-4D9E-A648-8C07ED078031}">
      <dsp:nvSpPr>
        <dsp:cNvPr id="0" name=""/>
        <dsp:cNvSpPr/>
      </dsp:nvSpPr>
      <dsp:spPr>
        <a:xfrm>
          <a:off x="0" y="2560320"/>
          <a:ext cx="5486400" cy="640080"/>
        </a:xfrm>
        <a:prstGeom prst="trapezoid">
          <a:avLst>
            <a:gd name="adj" fmla="val 85714"/>
          </a:avLst>
        </a:prstGeom>
        <a:solidFill>
          <a:schemeClr val="accent6">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lv-LV" sz="1100" kern="1200"/>
            <a:t>Pamatotas ambīcijas atbalstoša projektu atlase</a:t>
          </a:r>
          <a:endParaRPr lang="en-US" sz="1100" kern="1200"/>
        </a:p>
      </dsp:txBody>
      <dsp:txXfrm>
        <a:off x="960119" y="2560320"/>
        <a:ext cx="3566160" cy="640080"/>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8E2C265-7A60-4DD9-A2EA-441FE0E205D0}">
      <dsp:nvSpPr>
        <dsp:cNvPr id="0" name=""/>
        <dsp:cNvSpPr/>
      </dsp:nvSpPr>
      <dsp:spPr>
        <a:xfrm>
          <a:off x="0" y="44452"/>
          <a:ext cx="4058285" cy="1222943"/>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l" defTabSz="444500">
            <a:lnSpc>
              <a:spcPct val="90000"/>
            </a:lnSpc>
            <a:spcBef>
              <a:spcPct val="0"/>
            </a:spcBef>
            <a:spcAft>
              <a:spcPct val="35000"/>
            </a:spcAft>
            <a:buNone/>
          </a:pPr>
          <a:r>
            <a:rPr lang="lv-LV" sz="1000" kern="1200"/>
            <a:t>Iesniegšana (0.Posms)</a:t>
          </a:r>
          <a:endParaRPr lang="en-US" sz="1000" kern="1200"/>
        </a:p>
        <a:p>
          <a:pPr marL="57150" lvl="1" indent="-57150" algn="l" defTabSz="355600">
            <a:lnSpc>
              <a:spcPct val="90000"/>
            </a:lnSpc>
            <a:spcBef>
              <a:spcPct val="0"/>
            </a:spcBef>
            <a:spcAft>
              <a:spcPct val="15000"/>
            </a:spcAft>
            <a:buChar char="•"/>
          </a:pPr>
          <a:r>
            <a:rPr lang="lv-LV" sz="800" kern="1200"/>
            <a:t>Pārrunas, ja nepieciešams</a:t>
          </a:r>
          <a:endParaRPr lang="en-US" sz="800" kern="1200"/>
        </a:p>
        <a:p>
          <a:pPr marL="57150" lvl="1" indent="-57150" algn="l" defTabSz="355600">
            <a:lnSpc>
              <a:spcPct val="90000"/>
            </a:lnSpc>
            <a:spcBef>
              <a:spcPct val="0"/>
            </a:spcBef>
            <a:spcAft>
              <a:spcPct val="15000"/>
            </a:spcAft>
            <a:buChar char="•"/>
          </a:pPr>
          <a:r>
            <a:rPr lang="lv-LV" sz="800" kern="1200"/>
            <a:t>Projekts tiek iesniegts KC</a:t>
          </a:r>
          <a:endParaRPr lang="en-US" sz="800" kern="1200"/>
        </a:p>
        <a:p>
          <a:pPr marL="57150" lvl="1" indent="-57150" algn="l" defTabSz="355600">
            <a:lnSpc>
              <a:spcPct val="90000"/>
            </a:lnSpc>
            <a:spcBef>
              <a:spcPct val="0"/>
            </a:spcBef>
            <a:spcAft>
              <a:spcPct val="15000"/>
            </a:spcAft>
            <a:buChar char="•"/>
          </a:pPr>
          <a:r>
            <a:rPr lang="lv-LV" sz="800" kern="1200"/>
            <a:t>Aizpildīti projekta dati</a:t>
          </a:r>
          <a:endParaRPr lang="en-US" sz="800" kern="1200"/>
        </a:p>
        <a:p>
          <a:pPr marL="57150" lvl="1" indent="-57150" algn="l" defTabSz="355600">
            <a:lnSpc>
              <a:spcPct val="90000"/>
            </a:lnSpc>
            <a:spcBef>
              <a:spcPct val="0"/>
            </a:spcBef>
            <a:spcAft>
              <a:spcPct val="15000"/>
            </a:spcAft>
            <a:buChar char="•"/>
          </a:pPr>
          <a:r>
            <a:rPr lang="lv-LV" sz="800" kern="1200"/>
            <a:t>Iesniegta finanšu informācija</a:t>
          </a:r>
          <a:endParaRPr lang="en-US" sz="800" kern="1200"/>
        </a:p>
        <a:p>
          <a:pPr marL="57150" lvl="1" indent="-57150" algn="l" defTabSz="355600">
            <a:lnSpc>
              <a:spcPct val="90000"/>
            </a:lnSpc>
            <a:spcBef>
              <a:spcPct val="0"/>
            </a:spcBef>
            <a:spcAft>
              <a:spcPct val="15000"/>
            </a:spcAft>
            <a:buChar char="•"/>
          </a:pPr>
          <a:r>
            <a:rPr lang="lv-LV" sz="800" kern="1200"/>
            <a:t>Iesniegti uzņēmuma finanšu dati par uzņēmumu (gada pārskats)</a:t>
          </a:r>
          <a:endParaRPr lang="en-US" sz="800" kern="1200"/>
        </a:p>
        <a:p>
          <a:pPr marL="57150" lvl="1" indent="-57150" algn="l" defTabSz="355600">
            <a:lnSpc>
              <a:spcPct val="90000"/>
            </a:lnSpc>
            <a:spcBef>
              <a:spcPct val="0"/>
            </a:spcBef>
            <a:spcAft>
              <a:spcPct val="15000"/>
            </a:spcAft>
            <a:buChar char="•"/>
          </a:pPr>
          <a:r>
            <a:rPr lang="lv-LV" sz="800" kern="1200"/>
            <a:t>Pārbaudīts GNU statuss</a:t>
          </a:r>
          <a:endParaRPr lang="en-US" sz="800" kern="1200"/>
        </a:p>
      </dsp:txBody>
      <dsp:txXfrm>
        <a:off x="35819" y="80271"/>
        <a:ext cx="2396548" cy="1151305"/>
      </dsp:txXfrm>
    </dsp:sp>
    <dsp:sp modelId="{A1B286F8-BC46-4300-A3C4-95F8D4CA43B7}">
      <dsp:nvSpPr>
        <dsp:cNvPr id="0" name=""/>
        <dsp:cNvSpPr/>
      </dsp:nvSpPr>
      <dsp:spPr>
        <a:xfrm>
          <a:off x="303053" y="1549020"/>
          <a:ext cx="4058285" cy="1397889"/>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l" defTabSz="444500">
            <a:lnSpc>
              <a:spcPct val="90000"/>
            </a:lnSpc>
            <a:spcBef>
              <a:spcPct val="0"/>
            </a:spcBef>
            <a:spcAft>
              <a:spcPct val="35000"/>
            </a:spcAft>
            <a:buNone/>
          </a:pPr>
          <a:r>
            <a:rPr lang="lv-LV" sz="1000" kern="1200"/>
            <a:t>Administratīvais vērtējums (1.Posms)</a:t>
          </a:r>
          <a:endParaRPr lang="en-US" sz="1000" kern="1200"/>
        </a:p>
        <a:p>
          <a:pPr marL="57150" lvl="1" indent="-57150" algn="l" defTabSz="355600">
            <a:lnSpc>
              <a:spcPct val="90000"/>
            </a:lnSpc>
            <a:spcBef>
              <a:spcPct val="0"/>
            </a:spcBef>
            <a:spcAft>
              <a:spcPct val="15000"/>
            </a:spcAft>
            <a:buChar char="•"/>
          </a:pPr>
          <a:r>
            <a:rPr lang="lv-LV" sz="800" kern="1200"/>
            <a:t>KC izvērtē atbilstību KC virzieniem</a:t>
          </a:r>
          <a:endParaRPr lang="en-US" sz="800" kern="1200"/>
        </a:p>
        <a:p>
          <a:pPr marL="57150" lvl="1" indent="-57150" algn="l" defTabSz="355600">
            <a:lnSpc>
              <a:spcPct val="90000"/>
            </a:lnSpc>
            <a:spcBef>
              <a:spcPct val="0"/>
            </a:spcBef>
            <a:spcAft>
              <a:spcPct val="15000"/>
            </a:spcAft>
            <a:buChar char="•"/>
          </a:pPr>
          <a:r>
            <a:rPr lang="lv-LV" sz="800" kern="1200"/>
            <a:t>KC novērtē projekta atbīsltību P&amp;A izmaksu būtībai</a:t>
          </a:r>
          <a:endParaRPr lang="en-US" sz="800" kern="1200"/>
        </a:p>
        <a:p>
          <a:pPr marL="57150" lvl="1" indent="-57150" algn="l" defTabSz="355600">
            <a:lnSpc>
              <a:spcPct val="90000"/>
            </a:lnSpc>
            <a:spcBef>
              <a:spcPct val="0"/>
            </a:spcBef>
            <a:spcAft>
              <a:spcPct val="15000"/>
            </a:spcAft>
            <a:buChar char="•"/>
          </a:pPr>
          <a:r>
            <a:rPr lang="lv-LV" sz="800" kern="1200"/>
            <a:t>KC sniedz konsultāciijas un ieteikums projekta pieteikuma precizēšanai</a:t>
          </a:r>
          <a:endParaRPr lang="en-US" sz="800" kern="1200"/>
        </a:p>
      </dsp:txBody>
      <dsp:txXfrm>
        <a:off x="343996" y="1589963"/>
        <a:ext cx="2764717" cy="1316003"/>
      </dsp:txXfrm>
    </dsp:sp>
    <dsp:sp modelId="{5E9D5D3E-FD49-4C6C-A0CB-AE9725FC8C0B}">
      <dsp:nvSpPr>
        <dsp:cNvPr id="0" name=""/>
        <dsp:cNvSpPr/>
      </dsp:nvSpPr>
      <dsp:spPr>
        <a:xfrm>
          <a:off x="606107" y="3141060"/>
          <a:ext cx="4058285" cy="1397889"/>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l" defTabSz="444500">
            <a:lnSpc>
              <a:spcPct val="90000"/>
            </a:lnSpc>
            <a:spcBef>
              <a:spcPct val="0"/>
            </a:spcBef>
            <a:spcAft>
              <a:spcPct val="35000"/>
            </a:spcAft>
            <a:buNone/>
          </a:pPr>
          <a:r>
            <a:rPr lang="lv-LV" sz="1000" kern="1200"/>
            <a:t>PAP locekļu vērtējums (1.Posms)</a:t>
          </a:r>
          <a:endParaRPr lang="en-US" sz="1000" kern="1200"/>
        </a:p>
        <a:p>
          <a:pPr marL="57150" lvl="1" indent="-57150" algn="l" defTabSz="355600">
            <a:lnSpc>
              <a:spcPct val="90000"/>
            </a:lnSpc>
            <a:spcBef>
              <a:spcPct val="0"/>
            </a:spcBef>
            <a:spcAft>
              <a:spcPct val="15000"/>
            </a:spcAft>
            <a:buChar char="•"/>
          </a:pPr>
          <a:r>
            <a:rPr lang="lv-LV" sz="800" kern="1200"/>
            <a:t>PAP loceklis par projektu sniedz savus komentārus un jautājumus (ja attiecienāms)</a:t>
          </a:r>
          <a:endParaRPr lang="en-US" sz="800" kern="1200"/>
        </a:p>
        <a:p>
          <a:pPr marL="57150" lvl="1" indent="-57150" algn="l" defTabSz="355600">
            <a:lnSpc>
              <a:spcPct val="90000"/>
            </a:lnSpc>
            <a:spcBef>
              <a:spcPct val="0"/>
            </a:spcBef>
            <a:spcAft>
              <a:spcPct val="15000"/>
            </a:spcAft>
            <a:buChar char="•"/>
          </a:pPr>
          <a:r>
            <a:rPr lang="lv-LV" sz="800" kern="1200"/>
            <a:t>Projektu atlasaes padomes locekļu vērtējums tiek apkopots un sniegtas rekomendācijas nepieciešamajām projektu izmaiņām (ja attiecināms)</a:t>
          </a:r>
          <a:endParaRPr lang="en-US" sz="800" kern="1200"/>
        </a:p>
      </dsp:txBody>
      <dsp:txXfrm>
        <a:off x="647050" y="3182003"/>
        <a:ext cx="2764717" cy="1316003"/>
      </dsp:txXfrm>
    </dsp:sp>
    <dsp:sp modelId="{88911AC1-7D4D-4E2A-97D1-B67A11024550}">
      <dsp:nvSpPr>
        <dsp:cNvPr id="0" name=""/>
        <dsp:cNvSpPr/>
      </dsp:nvSpPr>
      <dsp:spPr>
        <a:xfrm>
          <a:off x="909161" y="4733100"/>
          <a:ext cx="4058285" cy="1397889"/>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l" defTabSz="444500">
            <a:lnSpc>
              <a:spcPct val="90000"/>
            </a:lnSpc>
            <a:spcBef>
              <a:spcPct val="0"/>
            </a:spcBef>
            <a:spcAft>
              <a:spcPct val="35000"/>
            </a:spcAft>
            <a:buNone/>
          </a:pPr>
          <a:r>
            <a:rPr lang="lv-LV" sz="1000" kern="1200"/>
            <a:t>Prezentācija projektu atlases padomē (2.Posms)</a:t>
          </a:r>
          <a:endParaRPr lang="en-US" sz="1000" kern="1200"/>
        </a:p>
        <a:p>
          <a:pPr marL="57150" lvl="1" indent="-57150" algn="l" defTabSz="355600">
            <a:lnSpc>
              <a:spcPct val="90000"/>
            </a:lnSpc>
            <a:spcBef>
              <a:spcPct val="0"/>
            </a:spcBef>
            <a:spcAft>
              <a:spcPct val="15000"/>
            </a:spcAft>
            <a:buChar char="•"/>
          </a:pPr>
          <a:r>
            <a:rPr lang="lv-LV" sz="800" kern="1200"/>
            <a:t>Pieteiktie (t.sk. pārskatītie) projekti tiek prezentēti </a:t>
          </a:r>
          <a:endParaRPr lang="en-US" sz="800" kern="1200"/>
        </a:p>
        <a:p>
          <a:pPr marL="57150" lvl="1" indent="-57150" algn="l" defTabSz="355600">
            <a:lnSpc>
              <a:spcPct val="90000"/>
            </a:lnSpc>
            <a:spcBef>
              <a:spcPct val="0"/>
            </a:spcBef>
            <a:spcAft>
              <a:spcPct val="15000"/>
            </a:spcAft>
            <a:buChar char="•"/>
          </a:pPr>
          <a:r>
            <a:rPr lang="lv-LV" sz="800" kern="1200"/>
            <a:t>Padome vērtē saņemtos pieteikumus</a:t>
          </a:r>
          <a:endParaRPr lang="en-US" sz="800" kern="1200"/>
        </a:p>
        <a:p>
          <a:pPr marL="57150" lvl="1" indent="-57150" algn="l" defTabSz="355600">
            <a:lnSpc>
              <a:spcPct val="90000"/>
            </a:lnSpc>
            <a:spcBef>
              <a:spcPct val="0"/>
            </a:spcBef>
            <a:spcAft>
              <a:spcPct val="15000"/>
            </a:spcAft>
            <a:buChar char="•"/>
          </a:pPr>
          <a:r>
            <a:rPr lang="lv-LV" sz="800" kern="1200"/>
            <a:t>Ja vairāki projekti konkurē par vienu finansējumu un saņem vienu vērtējumu, tad tie tiek noraidīti visi informējot par to projekta iesniedzējus un dodot tiem iespēju iesniegt finansējuma korekcijas atkārtotai vērtēšanai. </a:t>
          </a:r>
          <a:endParaRPr lang="en-US" sz="800" kern="1200"/>
        </a:p>
      </dsp:txBody>
      <dsp:txXfrm>
        <a:off x="950104" y="4774043"/>
        <a:ext cx="2764717" cy="1316002"/>
      </dsp:txXfrm>
    </dsp:sp>
    <dsp:sp modelId="{951747B2-9D39-4B41-8C14-443E2C11F673}">
      <dsp:nvSpPr>
        <dsp:cNvPr id="0" name=""/>
        <dsp:cNvSpPr/>
      </dsp:nvSpPr>
      <dsp:spPr>
        <a:xfrm>
          <a:off x="1275706" y="6239100"/>
          <a:ext cx="3931301" cy="1569969"/>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l" defTabSz="444500">
            <a:lnSpc>
              <a:spcPct val="90000"/>
            </a:lnSpc>
            <a:spcBef>
              <a:spcPct val="0"/>
            </a:spcBef>
            <a:spcAft>
              <a:spcPct val="35000"/>
            </a:spcAft>
            <a:buNone/>
          </a:pPr>
          <a:r>
            <a:rPr lang="lv-LV" sz="1000" kern="1200"/>
            <a:t>PAP lēmums par īstenošanu (2. Posms)</a:t>
          </a:r>
          <a:endParaRPr lang="en-US" sz="1000" kern="1200"/>
        </a:p>
        <a:p>
          <a:pPr marL="57150" lvl="1" indent="-57150" algn="l" defTabSz="355600">
            <a:lnSpc>
              <a:spcPct val="90000"/>
            </a:lnSpc>
            <a:spcBef>
              <a:spcPct val="0"/>
            </a:spcBef>
            <a:spcAft>
              <a:spcPct val="15000"/>
            </a:spcAft>
            <a:buChar char="•"/>
          </a:pPr>
          <a:r>
            <a:rPr lang="lv-LV" sz="800" kern="1200"/>
            <a:t>Ja projekts tiek apstiprināts ar nosacījumu, lēmumu par nosacījumu izpildi pieņem PAP</a:t>
          </a:r>
          <a:endParaRPr lang="en-US" sz="800" kern="1200"/>
        </a:p>
        <a:p>
          <a:pPr marL="57150" lvl="1" indent="-57150" algn="l" defTabSz="355600">
            <a:lnSpc>
              <a:spcPct val="90000"/>
            </a:lnSpc>
            <a:spcBef>
              <a:spcPct val="0"/>
            </a:spcBef>
            <a:spcAft>
              <a:spcPct val="15000"/>
            </a:spcAft>
            <a:buChar char="•"/>
          </a:pPr>
          <a:r>
            <a:rPr lang="lv-LV" sz="800" kern="1200"/>
            <a:t>Lēmums tiek pieņemts apkopojot individuālos vertējumus </a:t>
          </a:r>
          <a:endParaRPr lang="en-US" sz="800" kern="1200"/>
        </a:p>
        <a:p>
          <a:pPr marL="57150" lvl="1" indent="-57150" algn="l" defTabSz="355600">
            <a:lnSpc>
              <a:spcPct val="90000"/>
            </a:lnSpc>
            <a:spcBef>
              <a:spcPct val="0"/>
            </a:spcBef>
            <a:spcAft>
              <a:spcPct val="15000"/>
            </a:spcAft>
            <a:buChar char="•"/>
          </a:pPr>
          <a:r>
            <a:rPr lang="lv-LV" sz="800" kern="1200"/>
            <a:t>Ja projekts tiek apstipirnāts, tas tiek iekļauts sakstā, kas tiek nosūtīts CFLA</a:t>
          </a:r>
          <a:endParaRPr lang="en-US" sz="800" kern="1200"/>
        </a:p>
        <a:p>
          <a:pPr marL="57150" lvl="1" indent="-57150" algn="l" defTabSz="355600">
            <a:lnSpc>
              <a:spcPct val="90000"/>
            </a:lnSpc>
            <a:spcBef>
              <a:spcPct val="0"/>
            </a:spcBef>
            <a:spcAft>
              <a:spcPct val="15000"/>
            </a:spcAft>
            <a:buChar char="•"/>
          </a:pPr>
          <a:r>
            <a:rPr lang="lv-LV" sz="800" kern="1200"/>
            <a:t>Ja projekts tiek noraidīts, </a:t>
          </a:r>
          <a:r>
            <a:rPr lang="en-US" sz="800" kern="1200"/>
            <a:t>15 darbdienu laikā no </a:t>
          </a:r>
          <a:r>
            <a:rPr lang="lv-LV" sz="800" kern="1200"/>
            <a:t>PAP</a:t>
          </a:r>
          <a:r>
            <a:rPr lang="en-US" sz="800" kern="1200"/>
            <a:t> sēdes dienas rakstiski informē sadarbības partner</a:t>
          </a:r>
          <a:r>
            <a:rPr lang="lv-LV" sz="800" kern="1200"/>
            <a:t>i</a:t>
          </a:r>
          <a:r>
            <a:rPr lang="en-US" sz="800" kern="1200"/>
            <a:t> par noraidīto pētniecības projektu, sniedzot skaidrojumu par noraidīšanas iemesliem un apstrīdēšanas iespējām</a:t>
          </a:r>
        </a:p>
      </dsp:txBody>
      <dsp:txXfrm>
        <a:off x="1321689" y="6285083"/>
        <a:ext cx="2665567" cy="1478003"/>
      </dsp:txXfrm>
    </dsp:sp>
    <dsp:sp modelId="{80A1996D-2E40-43A7-A1AF-66CD48A06CF8}">
      <dsp:nvSpPr>
        <dsp:cNvPr id="0" name=""/>
        <dsp:cNvSpPr/>
      </dsp:nvSpPr>
      <dsp:spPr>
        <a:xfrm>
          <a:off x="3149657" y="978215"/>
          <a:ext cx="908627" cy="908627"/>
        </a:xfrm>
        <a:prstGeom prst="downArrow">
          <a:avLst>
            <a:gd name="adj1" fmla="val 55000"/>
            <a:gd name="adj2" fmla="val 45000"/>
          </a:avLst>
        </a:prstGeom>
        <a:solidFill>
          <a:schemeClr val="lt1">
            <a:alpha val="90000"/>
            <a:tint val="40000"/>
            <a:hueOff val="0"/>
            <a:satOff val="0"/>
            <a:lumOff val="0"/>
            <a:alphaOff val="0"/>
          </a:schemeClr>
        </a:solidFill>
        <a:ln w="12700" cap="flat" cmpd="sng" algn="ctr">
          <a:solidFill>
            <a:schemeClr val="dk1">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marL="0" lvl="0" indent="0" algn="ctr" defTabSz="1600200">
            <a:lnSpc>
              <a:spcPct val="90000"/>
            </a:lnSpc>
            <a:spcBef>
              <a:spcPct val="0"/>
            </a:spcBef>
            <a:spcAft>
              <a:spcPct val="35000"/>
            </a:spcAft>
            <a:buNone/>
          </a:pPr>
          <a:endParaRPr lang="en-US" sz="3600" kern="1200"/>
        </a:p>
      </dsp:txBody>
      <dsp:txXfrm>
        <a:off x="3354098" y="978215"/>
        <a:ext cx="499745" cy="683742"/>
      </dsp:txXfrm>
    </dsp:sp>
    <dsp:sp modelId="{D586CE4B-54D6-4CF2-AB19-C9505AC1F558}">
      <dsp:nvSpPr>
        <dsp:cNvPr id="0" name=""/>
        <dsp:cNvSpPr/>
      </dsp:nvSpPr>
      <dsp:spPr>
        <a:xfrm>
          <a:off x="3452710" y="2570255"/>
          <a:ext cx="908627" cy="908627"/>
        </a:xfrm>
        <a:prstGeom prst="downArrow">
          <a:avLst>
            <a:gd name="adj1" fmla="val 55000"/>
            <a:gd name="adj2" fmla="val 45000"/>
          </a:avLst>
        </a:prstGeom>
        <a:solidFill>
          <a:schemeClr val="lt1">
            <a:alpha val="90000"/>
            <a:tint val="40000"/>
            <a:hueOff val="0"/>
            <a:satOff val="0"/>
            <a:lumOff val="0"/>
            <a:alphaOff val="0"/>
          </a:schemeClr>
        </a:solidFill>
        <a:ln w="12700" cap="flat" cmpd="sng" algn="ctr">
          <a:solidFill>
            <a:schemeClr val="dk1">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marL="0" lvl="0" indent="0" algn="ctr" defTabSz="1600200">
            <a:lnSpc>
              <a:spcPct val="90000"/>
            </a:lnSpc>
            <a:spcBef>
              <a:spcPct val="0"/>
            </a:spcBef>
            <a:spcAft>
              <a:spcPct val="35000"/>
            </a:spcAft>
            <a:buNone/>
          </a:pPr>
          <a:endParaRPr lang="en-US" sz="3600" kern="1200"/>
        </a:p>
      </dsp:txBody>
      <dsp:txXfrm>
        <a:off x="3657151" y="2570255"/>
        <a:ext cx="499745" cy="683742"/>
      </dsp:txXfrm>
    </dsp:sp>
    <dsp:sp modelId="{B06D2A5B-8DD4-4AD7-9558-4727541221A4}">
      <dsp:nvSpPr>
        <dsp:cNvPr id="0" name=""/>
        <dsp:cNvSpPr/>
      </dsp:nvSpPr>
      <dsp:spPr>
        <a:xfrm>
          <a:off x="3755764" y="4138997"/>
          <a:ext cx="908627" cy="908627"/>
        </a:xfrm>
        <a:prstGeom prst="downArrow">
          <a:avLst>
            <a:gd name="adj1" fmla="val 55000"/>
            <a:gd name="adj2" fmla="val 45000"/>
          </a:avLst>
        </a:prstGeom>
        <a:solidFill>
          <a:schemeClr val="lt1">
            <a:alpha val="90000"/>
            <a:tint val="40000"/>
            <a:hueOff val="0"/>
            <a:satOff val="0"/>
            <a:lumOff val="0"/>
            <a:alphaOff val="0"/>
          </a:schemeClr>
        </a:solidFill>
        <a:ln w="12700" cap="flat" cmpd="sng" algn="ctr">
          <a:solidFill>
            <a:schemeClr val="dk1">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marL="0" lvl="0" indent="0" algn="ctr" defTabSz="1600200">
            <a:lnSpc>
              <a:spcPct val="90000"/>
            </a:lnSpc>
            <a:spcBef>
              <a:spcPct val="0"/>
            </a:spcBef>
            <a:spcAft>
              <a:spcPct val="35000"/>
            </a:spcAft>
            <a:buNone/>
          </a:pPr>
          <a:endParaRPr lang="en-US" sz="3600" kern="1200"/>
        </a:p>
      </dsp:txBody>
      <dsp:txXfrm>
        <a:off x="3960205" y="4138997"/>
        <a:ext cx="499745" cy="683742"/>
      </dsp:txXfrm>
    </dsp:sp>
    <dsp:sp modelId="{45A00E82-08F9-4A21-AC37-B0763978E784}">
      <dsp:nvSpPr>
        <dsp:cNvPr id="0" name=""/>
        <dsp:cNvSpPr/>
      </dsp:nvSpPr>
      <dsp:spPr>
        <a:xfrm>
          <a:off x="4058818" y="5746570"/>
          <a:ext cx="908627" cy="908627"/>
        </a:xfrm>
        <a:prstGeom prst="downArrow">
          <a:avLst>
            <a:gd name="adj1" fmla="val 55000"/>
            <a:gd name="adj2" fmla="val 45000"/>
          </a:avLst>
        </a:prstGeom>
        <a:solidFill>
          <a:schemeClr val="lt1">
            <a:alpha val="90000"/>
            <a:tint val="40000"/>
            <a:hueOff val="0"/>
            <a:satOff val="0"/>
            <a:lumOff val="0"/>
            <a:alphaOff val="0"/>
          </a:schemeClr>
        </a:solidFill>
        <a:ln w="12700" cap="flat" cmpd="sng" algn="ctr">
          <a:solidFill>
            <a:schemeClr val="dk1">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marL="0" lvl="0" indent="0" algn="ctr" defTabSz="1600200">
            <a:lnSpc>
              <a:spcPct val="90000"/>
            </a:lnSpc>
            <a:spcBef>
              <a:spcPct val="0"/>
            </a:spcBef>
            <a:spcAft>
              <a:spcPct val="35000"/>
            </a:spcAft>
            <a:buNone/>
          </a:pPr>
          <a:endParaRPr lang="en-US" sz="3600" kern="1200"/>
        </a:p>
      </dsp:txBody>
      <dsp:txXfrm>
        <a:off x="4263259" y="5746570"/>
        <a:ext cx="499745" cy="683742"/>
      </dsp:txXfrm>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4C2525D-100E-45CB-8ECC-B13D98D2B91D}">
      <dsp:nvSpPr>
        <dsp:cNvPr id="0" name=""/>
        <dsp:cNvSpPr/>
      </dsp:nvSpPr>
      <dsp:spPr>
        <a:xfrm>
          <a:off x="1290" y="900963"/>
          <a:ext cx="1212826" cy="1000328"/>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23825" tIns="123825" rIns="123825" bIns="123825" numCol="1" spcCol="1270" anchor="t" anchorCtr="0">
          <a:noAutofit/>
        </a:bodyPr>
        <a:lstStyle/>
        <a:p>
          <a:pPr marL="57150" lvl="1" indent="-57150" algn="l" defTabSz="466725">
            <a:lnSpc>
              <a:spcPct val="90000"/>
            </a:lnSpc>
            <a:spcBef>
              <a:spcPct val="0"/>
            </a:spcBef>
            <a:spcAft>
              <a:spcPct val="15000"/>
            </a:spcAft>
            <a:buChar char="•"/>
          </a:pPr>
          <a:r>
            <a:rPr lang="lv-LV" sz="1050"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Ekspertīze</a:t>
          </a:r>
          <a:endParaRPr lang="en-GB" sz="1100"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endParaRPr>
        </a:p>
        <a:p>
          <a:pPr marL="57150" lvl="1" indent="-57150" algn="l" defTabSz="488950">
            <a:lnSpc>
              <a:spcPct val="90000"/>
            </a:lnSpc>
            <a:spcBef>
              <a:spcPct val="0"/>
            </a:spcBef>
            <a:spcAft>
              <a:spcPct val="15000"/>
            </a:spcAft>
            <a:buChar char="•"/>
          </a:pPr>
          <a:r>
            <a:rPr lang="lv-LV" sz="1100"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Konsultācijas</a:t>
          </a:r>
          <a:endParaRPr lang="en-GB" sz="1100"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endParaRPr>
        </a:p>
        <a:p>
          <a:pPr marL="57150" lvl="1" indent="-57150" algn="l" defTabSz="488950">
            <a:lnSpc>
              <a:spcPct val="90000"/>
            </a:lnSpc>
            <a:spcBef>
              <a:spcPct val="0"/>
            </a:spcBef>
            <a:spcAft>
              <a:spcPct val="15000"/>
            </a:spcAft>
            <a:buChar char="•"/>
          </a:pPr>
          <a:r>
            <a:rPr lang="lv-LV" sz="1100"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Pieredze</a:t>
          </a:r>
          <a:endParaRPr lang="en-GB" sz="1100"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endParaRPr>
        </a:p>
      </dsp:txBody>
      <dsp:txXfrm>
        <a:off x="24310" y="923983"/>
        <a:ext cx="1166786" cy="739932"/>
      </dsp:txXfrm>
    </dsp:sp>
    <dsp:sp modelId="{31565345-0F73-4E43-80E9-3A7D454A30B2}">
      <dsp:nvSpPr>
        <dsp:cNvPr id="0" name=""/>
        <dsp:cNvSpPr/>
      </dsp:nvSpPr>
      <dsp:spPr>
        <a:xfrm rot="21421035">
          <a:off x="656684" y="957063"/>
          <a:ext cx="1588836" cy="1588836"/>
        </a:xfrm>
        <a:prstGeom prst="leftCircularArrow">
          <a:avLst>
            <a:gd name="adj1" fmla="val 3310"/>
            <a:gd name="adj2" fmla="val 408805"/>
            <a:gd name="adj3" fmla="val 2184315"/>
            <a:gd name="adj4" fmla="val 9024489"/>
            <a:gd name="adj5" fmla="val 3861"/>
          </a:avLst>
        </a:prstGeom>
        <a:solidFill>
          <a:srgbClr val="4472C4">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sp>
    <dsp:sp modelId="{5EAE8CB4-16E0-4D38-ABA5-1623CD608E45}">
      <dsp:nvSpPr>
        <dsp:cNvPr id="0" name=""/>
        <dsp:cNvSpPr/>
      </dsp:nvSpPr>
      <dsp:spPr>
        <a:xfrm>
          <a:off x="270807" y="1686935"/>
          <a:ext cx="1078068" cy="428712"/>
        </a:xfrm>
        <a:prstGeom prst="roundRect">
          <a:avLst>
            <a:gd name="adj" fmla="val 10000"/>
          </a:avLst>
        </a:prstGeom>
        <a:solidFill>
          <a:srgbClr val="E7E6E6">
            <a:lumMod val="25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0955" tIns="13970" rIns="20955" bIns="13970" numCol="1" spcCol="1270" anchor="ctr" anchorCtr="0">
          <a:noAutofit/>
        </a:bodyPr>
        <a:lstStyle/>
        <a:p>
          <a:pPr marL="0" lvl="0" indent="0" algn="ctr" defTabSz="466725">
            <a:lnSpc>
              <a:spcPct val="90000"/>
            </a:lnSpc>
            <a:spcBef>
              <a:spcPct val="0"/>
            </a:spcBef>
            <a:spcAft>
              <a:spcPct val="35000"/>
            </a:spcAft>
            <a:buNone/>
          </a:pPr>
          <a:r>
            <a:rPr lang="lv-LV" sz="1050" kern="1200">
              <a:solidFill>
                <a:sysClr val="window" lastClr="FFFFFF"/>
              </a:solidFill>
              <a:latin typeface="Arial" panose="020B0604020202020204" pitchFamily="34" charset="0"/>
              <a:ea typeface="+mn-ea"/>
              <a:cs typeface="Arial" panose="020B0604020202020204" pitchFamily="34" charset="0"/>
            </a:rPr>
            <a:t>Sagatavošanās</a:t>
          </a:r>
          <a:endParaRPr lang="en-GB" sz="1050" kern="1200">
            <a:solidFill>
              <a:sysClr val="window" lastClr="FFFFFF"/>
            </a:solidFill>
            <a:latin typeface="Arial" panose="020B0604020202020204" pitchFamily="34" charset="0"/>
            <a:ea typeface="+mn-ea"/>
            <a:cs typeface="Arial" panose="020B0604020202020204" pitchFamily="34" charset="0"/>
          </a:endParaRPr>
        </a:p>
      </dsp:txBody>
      <dsp:txXfrm>
        <a:off x="283364" y="1699492"/>
        <a:ext cx="1052954" cy="403598"/>
      </dsp:txXfrm>
    </dsp:sp>
    <dsp:sp modelId="{C96F755D-64AC-4A94-BA8A-95C976F4667D}">
      <dsp:nvSpPr>
        <dsp:cNvPr id="0" name=""/>
        <dsp:cNvSpPr/>
      </dsp:nvSpPr>
      <dsp:spPr>
        <a:xfrm>
          <a:off x="1599284" y="900963"/>
          <a:ext cx="1511715" cy="1000328"/>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23825" tIns="123825" rIns="123825" bIns="123825" numCol="1" spcCol="1270" anchor="t" anchorCtr="0">
          <a:noAutofit/>
        </a:bodyPr>
        <a:lstStyle/>
        <a:p>
          <a:pPr marL="57150" lvl="1" indent="-57150" algn="l" defTabSz="488950">
            <a:lnSpc>
              <a:spcPct val="90000"/>
            </a:lnSpc>
            <a:spcBef>
              <a:spcPct val="0"/>
            </a:spcBef>
            <a:spcAft>
              <a:spcPct val="15000"/>
            </a:spcAft>
            <a:buChar char="•"/>
          </a:pPr>
          <a:r>
            <a:rPr lang="lv-LV" sz="1100"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Kompetence</a:t>
          </a:r>
          <a:endParaRPr lang="en-GB" sz="1100"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endParaRPr>
        </a:p>
        <a:p>
          <a:pPr marL="57150" lvl="1" indent="-57150" algn="l" defTabSz="488950">
            <a:lnSpc>
              <a:spcPct val="90000"/>
            </a:lnSpc>
            <a:spcBef>
              <a:spcPct val="0"/>
            </a:spcBef>
            <a:spcAft>
              <a:spcPct val="15000"/>
            </a:spcAft>
            <a:buChar char="•"/>
          </a:pPr>
          <a:r>
            <a:rPr lang="lv-LV" sz="1100"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Atgriezeniskā saite</a:t>
          </a:r>
          <a:endParaRPr lang="en-GB" sz="1100"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endParaRPr>
        </a:p>
        <a:p>
          <a:pPr marL="57150" lvl="1" indent="-57150" algn="l" defTabSz="488950">
            <a:lnSpc>
              <a:spcPct val="90000"/>
            </a:lnSpc>
            <a:spcBef>
              <a:spcPct val="0"/>
            </a:spcBef>
            <a:spcAft>
              <a:spcPct val="15000"/>
            </a:spcAft>
            <a:buChar char="•"/>
          </a:pPr>
          <a:r>
            <a:rPr lang="lv-LV" sz="1100"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Ieteikumi</a:t>
          </a:r>
          <a:endParaRPr lang="en-GB" sz="1100"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endParaRPr>
        </a:p>
      </dsp:txBody>
      <dsp:txXfrm>
        <a:off x="1622304" y="1138339"/>
        <a:ext cx="1465675" cy="739932"/>
      </dsp:txXfrm>
    </dsp:sp>
    <dsp:sp modelId="{A45E4738-531A-4BE8-A1F8-86CA1D210A65}">
      <dsp:nvSpPr>
        <dsp:cNvPr id="0" name=""/>
        <dsp:cNvSpPr/>
      </dsp:nvSpPr>
      <dsp:spPr>
        <a:xfrm rot="313537">
          <a:off x="2416377" y="102807"/>
          <a:ext cx="1860903" cy="1860903"/>
        </a:xfrm>
        <a:prstGeom prst="circularArrow">
          <a:avLst>
            <a:gd name="adj1" fmla="val 2826"/>
            <a:gd name="adj2" fmla="val 345080"/>
            <a:gd name="adj3" fmla="val 19479409"/>
            <a:gd name="adj4" fmla="val 12575511"/>
            <a:gd name="adj5" fmla="val 3297"/>
          </a:avLst>
        </a:prstGeom>
        <a:solidFill>
          <a:srgbClr val="4472C4">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sp>
    <dsp:sp modelId="{25B76222-360C-46DE-880C-BF76087D1958}">
      <dsp:nvSpPr>
        <dsp:cNvPr id="0" name=""/>
        <dsp:cNvSpPr/>
      </dsp:nvSpPr>
      <dsp:spPr>
        <a:xfrm>
          <a:off x="2018246" y="686607"/>
          <a:ext cx="1078068" cy="428712"/>
        </a:xfrm>
        <a:prstGeom prst="roundRect">
          <a:avLst>
            <a:gd name="adj" fmla="val 10000"/>
          </a:avLst>
        </a:prstGeom>
        <a:solidFill>
          <a:srgbClr val="E7E6E6">
            <a:lumMod val="25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0955" tIns="13970" rIns="20955" bIns="13970" numCol="1" spcCol="1270" anchor="ctr" anchorCtr="0">
          <a:noAutofit/>
        </a:bodyPr>
        <a:lstStyle/>
        <a:p>
          <a:pPr marL="0" lvl="0" indent="0" algn="ctr" defTabSz="466725">
            <a:lnSpc>
              <a:spcPct val="90000"/>
            </a:lnSpc>
            <a:spcBef>
              <a:spcPct val="0"/>
            </a:spcBef>
            <a:spcAft>
              <a:spcPct val="35000"/>
            </a:spcAft>
            <a:buNone/>
          </a:pPr>
          <a:r>
            <a:rPr lang="lv-LV" sz="1050" kern="1200">
              <a:solidFill>
                <a:sysClr val="window" lastClr="FFFFFF"/>
              </a:solidFill>
              <a:latin typeface="Arial" panose="020B0604020202020204" pitchFamily="34" charset="0"/>
              <a:ea typeface="+mn-ea"/>
              <a:cs typeface="Arial" panose="020B0604020202020204" pitchFamily="34" charset="0"/>
            </a:rPr>
            <a:t>Izvērtēšana</a:t>
          </a:r>
          <a:endParaRPr lang="en-GB" sz="700" kern="1200">
            <a:solidFill>
              <a:sysClr val="window" lastClr="FFFFFF"/>
            </a:solidFill>
            <a:latin typeface="Arial" panose="020B0604020202020204" pitchFamily="34" charset="0"/>
            <a:ea typeface="+mn-ea"/>
            <a:cs typeface="Arial" panose="020B0604020202020204" pitchFamily="34" charset="0"/>
          </a:endParaRPr>
        </a:p>
      </dsp:txBody>
      <dsp:txXfrm>
        <a:off x="2030803" y="699164"/>
        <a:ext cx="1052954" cy="403598"/>
      </dsp:txXfrm>
    </dsp:sp>
    <dsp:sp modelId="{546CA926-3424-4DFF-9EB0-5E16CF66729C}">
      <dsp:nvSpPr>
        <dsp:cNvPr id="0" name=""/>
        <dsp:cNvSpPr/>
      </dsp:nvSpPr>
      <dsp:spPr>
        <a:xfrm>
          <a:off x="3361410" y="900963"/>
          <a:ext cx="1685986" cy="1000328"/>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23825" tIns="123825" rIns="123825" bIns="123825" numCol="1" spcCol="1270" anchor="t" anchorCtr="0">
          <a:noAutofit/>
        </a:bodyPr>
        <a:lstStyle/>
        <a:p>
          <a:pPr marL="57150" lvl="1" indent="-57150" algn="l" defTabSz="488950">
            <a:lnSpc>
              <a:spcPct val="90000"/>
            </a:lnSpc>
            <a:spcBef>
              <a:spcPct val="0"/>
            </a:spcBef>
            <a:spcAft>
              <a:spcPct val="15000"/>
            </a:spcAft>
            <a:buChar char="•"/>
          </a:pPr>
          <a:r>
            <a:rPr lang="lv-LV" sz="1100"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Uzraudzība</a:t>
          </a:r>
          <a:endParaRPr lang="en-GB" sz="1100"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endParaRPr>
        </a:p>
        <a:p>
          <a:pPr marL="57150" lvl="1" indent="-57150" algn="l" defTabSz="488950">
            <a:lnSpc>
              <a:spcPct val="90000"/>
            </a:lnSpc>
            <a:spcBef>
              <a:spcPct val="0"/>
            </a:spcBef>
            <a:spcAft>
              <a:spcPct val="15000"/>
            </a:spcAft>
            <a:buChar char="•"/>
          </a:pPr>
          <a:r>
            <a:rPr lang="lv-LV" sz="1100"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Konsultācijas</a:t>
          </a:r>
          <a:endParaRPr lang="en-GB" sz="1100"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endParaRPr>
        </a:p>
        <a:p>
          <a:pPr marL="57150" lvl="1" indent="-57150" algn="l" defTabSz="488950">
            <a:lnSpc>
              <a:spcPct val="90000"/>
            </a:lnSpc>
            <a:spcBef>
              <a:spcPct val="0"/>
            </a:spcBef>
            <a:spcAft>
              <a:spcPct val="15000"/>
            </a:spcAft>
            <a:buChar char="•"/>
          </a:pPr>
          <a:r>
            <a:rPr lang="lv-LV" sz="1100"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Kontakti</a:t>
          </a:r>
          <a:endParaRPr lang="en-GB" sz="1100"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endParaRPr>
        </a:p>
        <a:p>
          <a:pPr marL="57150" lvl="1" indent="-57150" algn="l" defTabSz="488950">
            <a:lnSpc>
              <a:spcPct val="90000"/>
            </a:lnSpc>
            <a:spcBef>
              <a:spcPct val="0"/>
            </a:spcBef>
            <a:spcAft>
              <a:spcPct val="15000"/>
            </a:spcAft>
            <a:buChar char="•"/>
          </a:pPr>
          <a:r>
            <a:rPr lang="lv-LV" sz="1100"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Finansējuma piesaiste</a:t>
          </a:r>
          <a:endParaRPr lang="en-GB" sz="1100"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endParaRPr>
        </a:p>
      </dsp:txBody>
      <dsp:txXfrm>
        <a:off x="3384430" y="923983"/>
        <a:ext cx="1639946" cy="739932"/>
      </dsp:txXfrm>
    </dsp:sp>
    <dsp:sp modelId="{499C57CF-507B-42CA-9F74-3A57751FC13A}">
      <dsp:nvSpPr>
        <dsp:cNvPr id="0" name=""/>
        <dsp:cNvSpPr/>
      </dsp:nvSpPr>
      <dsp:spPr>
        <a:xfrm rot="21365857">
          <a:off x="4376182" y="1097622"/>
          <a:ext cx="1579244" cy="1579244"/>
        </a:xfrm>
        <a:prstGeom prst="leftCircularArrow">
          <a:avLst>
            <a:gd name="adj1" fmla="val 3330"/>
            <a:gd name="adj2" fmla="val 411484"/>
            <a:gd name="adj3" fmla="val 2083552"/>
            <a:gd name="adj4" fmla="val 8921047"/>
            <a:gd name="adj5" fmla="val 3885"/>
          </a:avLst>
        </a:prstGeom>
        <a:solidFill>
          <a:srgbClr val="4472C4">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sp>
    <dsp:sp modelId="{26D5D0B8-F3FB-40E5-BFA6-1D0144ECE965}">
      <dsp:nvSpPr>
        <dsp:cNvPr id="0" name=""/>
        <dsp:cNvSpPr/>
      </dsp:nvSpPr>
      <dsp:spPr>
        <a:xfrm>
          <a:off x="4000853" y="1839334"/>
          <a:ext cx="1078068" cy="428712"/>
        </a:xfrm>
        <a:prstGeom prst="roundRect">
          <a:avLst>
            <a:gd name="adj" fmla="val 10000"/>
          </a:avLst>
        </a:prstGeom>
        <a:solidFill>
          <a:srgbClr val="E7E6E6">
            <a:lumMod val="25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0955" tIns="13970" rIns="20955" bIns="13970" numCol="1" spcCol="1270" anchor="ctr" anchorCtr="0">
          <a:noAutofit/>
        </a:bodyPr>
        <a:lstStyle/>
        <a:p>
          <a:pPr marL="0" lvl="0" indent="0" algn="ctr" defTabSz="466725">
            <a:lnSpc>
              <a:spcPct val="90000"/>
            </a:lnSpc>
            <a:spcBef>
              <a:spcPct val="0"/>
            </a:spcBef>
            <a:spcAft>
              <a:spcPct val="35000"/>
            </a:spcAft>
            <a:buNone/>
          </a:pPr>
          <a:r>
            <a:rPr lang="lv-LV" sz="1050" kern="1200">
              <a:solidFill>
                <a:sysClr val="window" lastClr="FFFFFF"/>
              </a:solidFill>
              <a:latin typeface="Arial" panose="020B0604020202020204" pitchFamily="34" charset="0"/>
              <a:ea typeface="+mn-ea"/>
              <a:cs typeface="Arial" panose="020B0604020202020204" pitchFamily="34" charset="0"/>
            </a:rPr>
            <a:t>Realizācija</a:t>
          </a:r>
          <a:endParaRPr lang="en-GB" sz="1000" kern="1200">
            <a:solidFill>
              <a:sysClr val="window" lastClr="FFFFFF"/>
            </a:solidFill>
            <a:latin typeface="Arial" panose="020B0604020202020204" pitchFamily="34" charset="0"/>
            <a:ea typeface="+mn-ea"/>
            <a:cs typeface="Arial" panose="020B0604020202020204" pitchFamily="34" charset="0"/>
          </a:endParaRPr>
        </a:p>
      </dsp:txBody>
      <dsp:txXfrm>
        <a:off x="4013410" y="1851891"/>
        <a:ext cx="1052954" cy="403598"/>
      </dsp:txXfrm>
    </dsp:sp>
    <dsp:sp modelId="{6FAE2862-FD6E-4A28-B1A9-4B73AB7996FB}">
      <dsp:nvSpPr>
        <dsp:cNvPr id="0" name=""/>
        <dsp:cNvSpPr/>
      </dsp:nvSpPr>
      <dsp:spPr>
        <a:xfrm>
          <a:off x="5288564" y="876293"/>
          <a:ext cx="1575413" cy="1273888"/>
        </a:xfrm>
        <a:prstGeom prst="roundRect">
          <a:avLst>
            <a:gd name="adj" fmla="val 10000"/>
          </a:avLst>
        </a:prstGeom>
        <a:solidFill>
          <a:sysClr val="window" lastClr="FFFFFF"/>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23825" tIns="123825" rIns="123825" bIns="123825" numCol="1" spcCol="1270" anchor="t" anchorCtr="0">
          <a:noAutofit/>
        </a:bodyPr>
        <a:lstStyle/>
        <a:p>
          <a:pPr marL="57150" lvl="1" indent="-57150" algn="l" defTabSz="488950">
            <a:lnSpc>
              <a:spcPct val="90000"/>
            </a:lnSpc>
            <a:spcBef>
              <a:spcPct val="0"/>
            </a:spcBef>
            <a:spcAft>
              <a:spcPct val="15000"/>
            </a:spcAft>
            <a:buChar char="•"/>
          </a:pPr>
          <a:r>
            <a:rPr lang="lv-LV" sz="1100"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Jauni produkti vai tehnoloģijas</a:t>
          </a:r>
          <a:endParaRPr lang="en-GB" sz="1100"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endParaRPr>
        </a:p>
        <a:p>
          <a:pPr marL="57150" lvl="1" indent="-57150" algn="l" defTabSz="488950">
            <a:lnSpc>
              <a:spcPct val="90000"/>
            </a:lnSpc>
            <a:spcBef>
              <a:spcPct val="0"/>
            </a:spcBef>
            <a:spcAft>
              <a:spcPct val="15000"/>
            </a:spcAft>
            <a:buChar char="•"/>
          </a:pPr>
          <a:r>
            <a:rPr lang="lv-LV" sz="1100" i="1" kern="1200" err="1">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Know-how</a:t>
          </a:r>
          <a:endParaRPr lang="en-GB" sz="1100" i="1"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endParaRPr>
        </a:p>
        <a:p>
          <a:pPr marL="57150" lvl="1" indent="-57150" algn="l" defTabSz="488950">
            <a:lnSpc>
              <a:spcPct val="90000"/>
            </a:lnSpc>
            <a:spcBef>
              <a:spcPct val="0"/>
            </a:spcBef>
            <a:spcAft>
              <a:spcPct val="15000"/>
            </a:spcAft>
            <a:buChar char="•"/>
          </a:pPr>
          <a:r>
            <a:rPr lang="lv-LV" sz="1100" kern="1200">
              <a:solidFill>
                <a:srgbClr val="44546A">
                  <a:lumMod val="75000"/>
                </a:srgbClr>
              </a:solidFill>
              <a:latin typeface="Arial" panose="020B0604020202020204" pitchFamily="34" charset="0"/>
              <a:ea typeface="+mn-ea"/>
              <a:cs typeface="Arial" panose="020B0604020202020204" pitchFamily="34" charset="0"/>
            </a:rPr>
            <a:t>Arī negatīvs rezultāts ir rezultāts</a:t>
          </a:r>
          <a:endParaRPr lang="en-GB" sz="1100" kern="1200">
            <a:solidFill>
              <a:srgbClr val="44546A">
                <a:lumMod val="75000"/>
              </a:srgbClr>
            </a:solidFill>
            <a:latin typeface="Arial" panose="020B0604020202020204" pitchFamily="34" charset="0"/>
            <a:ea typeface="+mn-ea"/>
            <a:cs typeface="Arial" panose="020B0604020202020204" pitchFamily="34" charset="0"/>
          </a:endParaRPr>
        </a:p>
        <a:p>
          <a:pPr marL="57150" lvl="1" indent="-57150" algn="l" defTabSz="466725">
            <a:lnSpc>
              <a:spcPct val="90000"/>
            </a:lnSpc>
            <a:spcBef>
              <a:spcPct val="0"/>
            </a:spcBef>
            <a:spcAft>
              <a:spcPct val="15000"/>
            </a:spcAft>
            <a:buChar char="•"/>
          </a:pPr>
          <a:endParaRPr lang="en-GB" sz="1050"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endParaRPr>
        </a:p>
        <a:p>
          <a:pPr marL="57150" lvl="1" indent="-57150" algn="l" defTabSz="466725">
            <a:lnSpc>
              <a:spcPct val="90000"/>
            </a:lnSpc>
            <a:spcBef>
              <a:spcPct val="0"/>
            </a:spcBef>
            <a:spcAft>
              <a:spcPct val="15000"/>
            </a:spcAft>
            <a:buChar char="•"/>
          </a:pPr>
          <a:endParaRPr lang="en-GB" sz="1050"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endParaRPr>
        </a:p>
      </dsp:txBody>
      <dsp:txXfrm>
        <a:off x="5317880" y="1178585"/>
        <a:ext cx="1516781" cy="942280"/>
      </dsp:txXfrm>
    </dsp:sp>
    <dsp:sp modelId="{2E4AA291-44CB-474D-8611-5A2BC62EBE56}">
      <dsp:nvSpPr>
        <dsp:cNvPr id="0" name=""/>
        <dsp:cNvSpPr/>
      </dsp:nvSpPr>
      <dsp:spPr>
        <a:xfrm>
          <a:off x="5748616" y="685630"/>
          <a:ext cx="1078068" cy="428712"/>
        </a:xfrm>
        <a:prstGeom prst="roundRect">
          <a:avLst>
            <a:gd name="adj" fmla="val 10000"/>
          </a:avLst>
        </a:prstGeom>
        <a:solidFill>
          <a:srgbClr val="44546A"/>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0955" tIns="13970" rIns="20955" bIns="13970" numCol="1" spcCol="1270" anchor="ctr" anchorCtr="0">
          <a:noAutofit/>
        </a:bodyPr>
        <a:lstStyle/>
        <a:p>
          <a:pPr marL="0" lvl="0" indent="0" algn="ctr" defTabSz="466725">
            <a:lnSpc>
              <a:spcPct val="90000"/>
            </a:lnSpc>
            <a:spcBef>
              <a:spcPct val="0"/>
            </a:spcBef>
            <a:spcAft>
              <a:spcPct val="35000"/>
            </a:spcAft>
            <a:buNone/>
          </a:pPr>
          <a:r>
            <a:rPr lang="lv-LV" sz="1050" kern="1200">
              <a:solidFill>
                <a:sysClr val="window" lastClr="FFFFFF"/>
              </a:solidFill>
              <a:latin typeface="Arial" panose="020B0604020202020204" pitchFamily="34" charset="0"/>
              <a:ea typeface="+mn-ea"/>
              <a:cs typeface="Arial" panose="020B0604020202020204" pitchFamily="34" charset="0"/>
            </a:rPr>
            <a:t>Rezultāts</a:t>
          </a:r>
          <a:endParaRPr lang="en-GB" sz="700" kern="1200">
            <a:solidFill>
              <a:sysClr val="window" lastClr="FFFFFF"/>
            </a:solidFill>
            <a:latin typeface="Arial" panose="020B0604020202020204" pitchFamily="34" charset="0"/>
            <a:ea typeface="+mn-ea"/>
            <a:cs typeface="Arial" panose="020B0604020202020204" pitchFamily="34" charset="0"/>
          </a:endParaRPr>
        </a:p>
      </dsp:txBody>
      <dsp:txXfrm>
        <a:off x="5761173" y="698187"/>
        <a:ext cx="1052954" cy="403598"/>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5">
  <dgm:title val=""/>
  <dgm:desc val=""/>
  <dgm:catLst>
    <dgm:cat type="hierarchy" pri="6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 modelId="4">
          <dgm:prSet phldr="1"/>
        </dgm:pt>
        <dgm:pt modelId="5">
          <dgm:prSet phldr="1"/>
        </dgm:pt>
        <dgm:pt modelId="6">
          <dgm:prSet phldr="1"/>
        </dgm:pt>
      </dgm:ptLst>
      <dgm:cxnLst>
        <dgm:cxn modelId="7" srcId="0" destId="1" srcOrd="0" destOrd="0"/>
        <dgm:cxn modelId="8" srcId="1" destId="2" srcOrd="0" destOrd="0"/>
        <dgm:cxn modelId="9" srcId="1" destId="3" srcOrd="1" destOrd="0"/>
        <dgm:cxn modelId="23" srcId="2" destId="21" srcOrd="0" destOrd="0"/>
        <dgm:cxn modelId="24" srcId="2" destId="22" srcOrd="1" destOrd="0"/>
        <dgm:cxn modelId="33" srcId="3" destId="31" srcOrd="0" destOrd="0"/>
        <dgm:cxn modelId="10" srcId="0" destId="4" srcOrd="1" destOrd="0"/>
        <dgm:cxn modelId="11" srcId="0" destId="5" srcOrd="2" destOrd="0"/>
        <dgm:cxn modelId="12" srcId="0" destId="6" srcOrd="3" destOrd="0"/>
      </dgm:cxnLst>
      <dgm:bg/>
      <dgm:whole/>
    </dgm:dataModel>
  </dgm:sampData>
  <dgm:styleData>
    <dgm:dataModel>
      <dgm:ptLst>
        <dgm:pt modelId="0" type="doc"/>
        <dgm:pt modelId="1"/>
        <dgm:pt modelId="11"/>
        <dgm:pt modelId="12"/>
        <dgm:pt modelId="2"/>
        <dgm:pt modelId="3"/>
      </dgm:ptLst>
      <dgm:cxnLst>
        <dgm:cxn modelId="4" srcId="0" destId="1" srcOrd="0" destOrd="0"/>
        <dgm:cxn modelId="13" srcId="1" destId="11" srcOrd="0" destOrd="0"/>
        <dgm:cxn modelId="14" srcId="1" destId="12" srcOrd="1" destOrd="0"/>
        <dgm:cxn modelId="5" srcId="0" destId="2" srcOrd="1" destOrd="0"/>
        <dgm:cxn modelId="6" srcId="0" destId="3" srcOrd="2" destOrd="0"/>
      </dgm:cxnLst>
      <dgm:bg/>
      <dgm:whole/>
    </dgm:dataModel>
  </dgm:styleData>
  <dgm:clrData>
    <dgm:dataModel>
      <dgm:ptLst>
        <dgm:pt modelId="0" type="doc"/>
        <dgm:pt modelId="1"/>
        <dgm:pt modelId="2"/>
        <dgm:pt modelId="21"/>
        <dgm:pt modelId="211"/>
        <dgm:pt modelId="3"/>
        <dgm:pt modelId="31"/>
        <dgm:pt modelId="311"/>
        <dgm:pt modelId="4"/>
        <dgm:pt modelId="5"/>
        <dgm:pt modelId="6"/>
        <dgm:pt modelId="7"/>
      </dgm:ptLst>
      <dgm:cxnLst>
        <dgm:cxn modelId="8" srcId="0" destId="1" srcOrd="0" destOrd="0"/>
        <dgm:cxn modelId="9" srcId="1" destId="2" srcOrd="0" destOrd="0"/>
        <dgm:cxn modelId="10" srcId="1" destId="3" srcOrd="1" destOrd="0"/>
        <dgm:cxn modelId="23" srcId="2" destId="21" srcOrd="0" destOrd="0"/>
        <dgm:cxn modelId="24" srcId="21" destId="211" srcOrd="0" destOrd="0"/>
        <dgm:cxn modelId="33" srcId="3" destId="31" srcOrd="0" destOrd="0"/>
        <dgm:cxn modelId="34" srcId="31" destId="311" srcOrd="0" destOrd="0"/>
        <dgm:cxn modelId="11" srcId="0" destId="4" srcOrd="1" destOrd="0"/>
        <dgm:cxn modelId="12" srcId="0" destId="5" srcOrd="2" destOrd="0"/>
        <dgm:cxn modelId="13" srcId="0" destId="6" srcOrd="3" destOrd="0"/>
        <dgm:cxn modelId="14" srcId="0" destId="7" srcOrd="4" destOrd="0"/>
      </dgm:cxnLst>
      <dgm:bg/>
      <dgm:whole/>
    </dgm:dataModel>
  </dgm:clrData>
  <dgm:layoutNode name="mainComposite">
    <dgm:varLst>
      <dgm:chPref val="1"/>
      <dgm:dir/>
      <dgm:animOne val="branch"/>
      <dgm:animLvl val="lvl"/>
      <dgm:resizeHandles val="exact"/>
    </dgm:varLst>
    <dgm:alg type="composite"/>
    <dgm:presOf/>
    <dgm:shape xmlns:r="http://schemas.openxmlformats.org/officeDocument/2006/relationships" r:blip="">
      <dgm:adjLst/>
    </dgm:shape>
    <dgm:choose name="Name0">
      <dgm:if name="Name1" axis="ch" ptType="node" func="cnt" op="gte" val="2">
        <dgm:choose name="Name2">
          <dgm:if name="Name3" func="var" arg="dir" op="equ" val="norm">
            <dgm:constrLst>
              <dgm:constr type="l" for="ch" forName="hierFlow"/>
              <dgm:constr type="t" for="ch" forName="hierFlow" refType="h" fact="0.3"/>
              <dgm:constr type="r" for="ch" forName="hierFlow" refType="w" fact="0.98"/>
              <dgm:constr type="b" for="ch" forName="hierFlow" refType="h" fact="0.96"/>
              <dgm:constr type="l" for="ch" forName="bgShapesFlow"/>
              <dgm:constr type="t" for="ch" forName="bgShapesFlow"/>
              <dgm:constr type="r" for="ch" forName="bgShapesFlow" refType="w"/>
              <dgm:constr type="b" for="ch" forName="bgShapesFlow" refType="h"/>
              <dgm:constr type="h" for="des" forName="level1Shape" refType="h"/>
              <dgm:constr type="w" for="des" forName="level1Shape" refType="h" refFor="des" refForName="level1Shape" fact="2"/>
              <dgm:constr type="w" for="des" forName="level2Shape" refType="w" refFor="des" refForName="level1Shape" op="equ"/>
              <dgm:constr type="h" for="des" forName="level2Shape" refType="h" refFor="des" refForName="level1Shape" op="equ"/>
              <dgm:constr type="sp" for="des" refType="w" refFor="des" refForName="level1Shape" op="equ" fact="0.4"/>
              <dgm:constr type="sibSp" for="des" forName="hierChild1" refType="h" refFor="des" refForName="level1Shape" op="equ" fact="0.15"/>
              <dgm:constr type="sibSp" for="des" forName="hierChild2" refType="sibSp" refFor="des" refForName="hierChild1" op="equ"/>
              <dgm:constr type="sibSp" for="des" forName="hierChild3" refType="sibSp" refFor="des" refForName="hierChild1" op="equ"/>
              <dgm:constr type="userA" for="des" refType="w" refFor="des" refForName="level1Shape" op="equ"/>
              <dgm:constr type="userB" for="des" refType="sp" refFor="des" op="equ"/>
              <dgm:constr type="w" for="des" forName="firstBuf" refType="w" refFor="des" refForName="level1Shape" fact="0.1"/>
            </dgm:constrLst>
          </dgm:if>
          <dgm:else name="Name4">
            <dgm:constrLst>
              <dgm:constr type="l" for="ch" forName="hierFlow" refType="w" fact="0.02"/>
              <dgm:constr type="t" for="ch" forName="hierFlow" refType="h" fact="0.3"/>
              <dgm:constr type="r" for="ch" forName="hierFlow" refType="w"/>
              <dgm:constr type="b" for="ch" forName="hierFlow" refType="h" fact="0.96"/>
              <dgm:constr type="l" for="ch" forName="bgShapesFlow"/>
              <dgm:constr type="t" for="ch" forName="bgShapesFlow"/>
              <dgm:constr type="r" for="ch" forName="bgShapesFlow" refType="w"/>
              <dgm:constr type="b" for="ch" forName="bgShapesFlow" refType="h"/>
              <dgm:constr type="h" for="des" forName="level1Shape" refType="h"/>
              <dgm:constr type="w" for="des" forName="level1Shape" refType="h" refFor="des" refForName="level1Shape" fact="2"/>
              <dgm:constr type="w" for="des" forName="level2Shape" refType="w" refFor="des" refForName="level1Shape" op="equ"/>
              <dgm:constr type="h" for="des" forName="level2Shape" refType="h" refFor="des" refForName="level1Shape" op="equ"/>
              <dgm:constr type="sp" for="des" refType="w" refFor="des" refForName="level1Shape" op="equ" fact="0.4"/>
              <dgm:constr type="sibSp" for="des" forName="hierChild1" refType="h" refFor="des" refForName="level1Shape" op="equ" fact="0.15"/>
              <dgm:constr type="sibSp" for="des" forName="hierChild2" refType="sibSp" refFor="des" refForName="hierChild1" op="equ"/>
              <dgm:constr type="sibSp" for="des" forName="hierChild3" refType="sibSp" refFor="des" refForName="hierChild1" op="equ"/>
              <dgm:constr type="userA" for="des" refType="w" refFor="des" refForName="level1Shape" op="equ"/>
              <dgm:constr type="userB" for="des" refType="sp" refFor="des" op="equ"/>
              <dgm:constr type="w" for="des" forName="firstBuf" refType="w" refFor="des" refForName="level1Shape" fact="0.1"/>
            </dgm:constrLst>
          </dgm:else>
        </dgm:choose>
      </dgm:if>
      <dgm:else name="Name5">
        <dgm:constrLst>
          <dgm:constr type="l" for="ch" forName="hierFlow"/>
          <dgm:constr type="t" for="ch" forName="hierFlow"/>
          <dgm:constr type="r" for="ch" forName="hierFlow" refType="w"/>
          <dgm:constr type="b" for="ch" forName="hierFlow" refType="h"/>
          <dgm:constr type="l" for="ch" forName="bgShapesFlow"/>
          <dgm:constr type="t" for="ch" forName="bgShapesFlow"/>
          <dgm:constr type="r" for="ch" forName="bgShapesFlow" refType="w"/>
          <dgm:constr type="b" for="ch" forName="bgShapesFlow" refType="h"/>
          <dgm:constr type="h" for="des" forName="level1Shape" refType="h"/>
          <dgm:constr type="w" for="des" forName="level1Shape" refType="h" refFor="des" refForName="level1Shape" fact="2"/>
          <dgm:constr type="w" for="des" forName="level2Shape" refType="w" refFor="des" refForName="level1Shape" op="equ"/>
          <dgm:constr type="h" for="des" forName="level2Shape" refType="h" refFor="des" refForName="level1Shape" op="equ"/>
          <dgm:constr type="sp" for="des" refType="w" refFor="des" refForName="level1Shape" op="equ" fact="0.4"/>
          <dgm:constr type="sibSp" for="des" forName="hierChild1" refType="h" refFor="des" refForName="level1Shape" op="equ" fact="0.15"/>
          <dgm:constr type="sibSp" for="des" forName="hierChild2" refType="sibSp" refFor="des" refForName="hierChild1" op="equ"/>
          <dgm:constr type="sibSp" for="des" forName="hierChild3" refType="sibSp" refFor="des" refForName="hierChild1" op="equ"/>
          <dgm:constr type="userA" for="des" refType="w" refFor="des" refForName="level1Shape" op="equ"/>
          <dgm:constr type="userB" for="des" refType="sp" refFor="des" op="equ"/>
          <dgm:constr type="w" for="des" forName="firstBuf" refType="w" refFor="des" refForName="level1Shape" fact="0.1"/>
        </dgm:constrLst>
      </dgm:else>
    </dgm:choose>
    <dgm:ruleLst/>
    <dgm:layoutNode name="hierFlow">
      <dgm:choose name="Name6">
        <dgm:if name="Name7" func="var" arg="dir" op="equ" val="norm">
          <dgm:alg type="lin">
            <dgm:param type="linDir" val="fromL"/>
            <dgm:param type="nodeVertAlign" val="mid"/>
            <dgm:param type="vertAlign" val="mid"/>
            <dgm:param type="nodeHorzAlign" val="l"/>
            <dgm:param type="horzAlign" val="l"/>
            <dgm:param type="fallback" val="2D"/>
          </dgm:alg>
        </dgm:if>
        <dgm:else name="Name8">
          <dgm:alg type="lin">
            <dgm:param type="linDir" val="fromR"/>
            <dgm:param type="nodeVertAlign" val="mid"/>
            <dgm:param type="vertAlign" val="mid"/>
            <dgm:param type="nodeHorzAlign" val="r"/>
            <dgm:param type="horzAlign" val="r"/>
            <dgm:param type="fallback" val="2D"/>
          </dgm:alg>
        </dgm:else>
      </dgm:choose>
      <dgm:shape xmlns:r="http://schemas.openxmlformats.org/officeDocument/2006/relationships" r:blip="">
        <dgm:adjLst/>
      </dgm:shape>
      <dgm:presOf/>
      <dgm:constrLst>
        <dgm:constr type="primFontSz" for="des" ptType="node" op="equ" val="65"/>
        <dgm:constr type="primFontSz" for="des" forName="connTx" op="equ" val="55"/>
        <dgm:constr type="primFontSz" for="des" forName="connTx" refType="primFontSz" refFor="des" refPtType="node" op="lte" fact="0.8"/>
      </dgm:constrLst>
      <dgm:ruleLst/>
      <dgm:choose name="Name9">
        <dgm:if name="Name10" axis="ch" ptType="node" func="cnt" op="gte" val="2">
          <dgm:layoutNode name="firstBuf">
            <dgm:alg type="sp"/>
            <dgm:shape xmlns:r="http://schemas.openxmlformats.org/officeDocument/2006/relationships" r:blip="">
              <dgm:adjLst/>
            </dgm:shape>
            <dgm:presOf/>
            <dgm:constrLst/>
            <dgm:ruleLst/>
          </dgm:layoutNode>
        </dgm:if>
        <dgm:else name="Name11"/>
      </dgm:choose>
      <dgm:layoutNode name="hierChild1">
        <dgm:varLst>
          <dgm:chPref val="1"/>
          <dgm:animOne val="branch"/>
          <dgm:animLvl val="lvl"/>
        </dgm:varLst>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constrLst/>
        <dgm:ruleLst/>
        <dgm:forEach name="Name15" axis="ch" cnt="3">
          <dgm:forEach name="Name16" axis="self" ptType="node">
            <dgm:layoutNode name="Name17">
              <dgm:choose name="Name18">
                <dgm:if name="Name19" func="var" arg="dir" op="equ" val="norm">
                  <dgm:alg type="hierRoot">
                    <dgm:param type="hierAlign" val="lCtrCh"/>
                  </dgm:alg>
                </dgm:if>
                <dgm:else name="Name20">
                  <dgm:alg type="hierRoot">
                    <dgm:param type="hierAlign" val="rCtrCh"/>
                  </dgm:alg>
                </dgm:else>
              </dgm:choose>
              <dgm:shape xmlns:r="http://schemas.openxmlformats.org/officeDocument/2006/relationships" r:blip="">
                <dgm:adjLst/>
              </dgm:shape>
              <dgm:presOf/>
              <dgm:constrLst/>
              <dgm:ruleLst/>
              <dgm:layoutNode name="level1Shap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hierChild2">
                <dgm:choose name="Name21">
                  <dgm:if name="Name22" func="var" arg="dir" op="equ" val="norm">
                    <dgm:alg type="hierChild">
                      <dgm:param type="linDir" val="fromT"/>
                      <dgm:param type="chAlign" val="l"/>
                    </dgm:alg>
                  </dgm:if>
                  <dgm:else name="Name23">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24" axis="self" ptType="parTrans" cnt="1">
                    <dgm:layoutNode name="Name25">
                      <dgm:choose name="Name26">
                        <dgm:if name="Name27" func="var" arg="dir" op="equ" val="norm">
                          <dgm:alg type="conn">
                            <dgm:param type="dim" val="1D"/>
                            <dgm:param type="begPts" val="midR"/>
                            <dgm:param type="endPts" val="midL"/>
                            <dgm:param type="endSty" val="noArr"/>
                          </dgm:alg>
                        </dgm:if>
                        <dgm:else name="Name28">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29" axis="self" ptType="node">
                    <dgm:layoutNode name="Name30">
                      <dgm:choose name="Name31">
                        <dgm:if name="Name32" func="var" arg="dir" op="equ" val="norm">
                          <dgm:alg type="hierRoot">
                            <dgm:param type="hierAlign" val="lCtrCh"/>
                          </dgm:alg>
                        </dgm:if>
                        <dgm:else name="Name33">
                          <dgm:alg type="hierRoot">
                            <dgm:param type="hierAlign" val="rCtrCh"/>
                          </dgm:alg>
                        </dgm:else>
                      </dgm:choose>
                      <dgm:shape xmlns:r="http://schemas.openxmlformats.org/officeDocument/2006/relationships" r:blip="">
                        <dgm:adjLst/>
                      </dgm:shape>
                      <dgm:presOf/>
                      <dgm:constrLst/>
                      <dgm:ruleLst/>
                      <dgm:layoutNode name="level2Shape">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hierChild3">
                        <dgm:choose name="Name34">
                          <dgm:if name="Name35" func="var" arg="dir" op="equ" val="norm">
                            <dgm:alg type="hierChild">
                              <dgm:param type="linDir" val="fromT"/>
                              <dgm:param type="chAlign" val="l"/>
                            </dgm:alg>
                          </dgm:if>
                          <dgm:else name="Name36">
                            <dgm:alg type="hierChild">
                              <dgm:param type="linDir" val="fromT"/>
                              <dgm:param type="chAlign" val="r"/>
                            </dgm:alg>
                          </dgm:else>
                        </dgm:choose>
                        <dgm:shape xmlns:r="http://schemas.openxmlformats.org/officeDocument/2006/relationships" r:blip="">
                          <dgm:adjLst/>
                        </dgm:shape>
                        <dgm:presOf/>
                        <dgm:constrLst/>
                        <dgm:ruleLst/>
                        <dgm:forEach name="Name37" ref="repeat"/>
                      </dgm:layoutNode>
                    </dgm:layoutNode>
                  </dgm:forEach>
                </dgm:forEach>
              </dgm:layoutNode>
            </dgm:layoutNode>
          </dgm:forEach>
        </dgm:forEach>
      </dgm:layoutNode>
    </dgm:layoutNode>
    <dgm:layoutNode name="bgShapesFlow">
      <dgm:choose name="Name38">
        <dgm:if name="Name39" func="var" arg="dir" op="equ" val="norm">
          <dgm:alg type="lin">
            <dgm:param type="linDir" val="fromL"/>
            <dgm:param type="nodeVertAlign" val="mid"/>
            <dgm:param type="vertAlign" val="mid"/>
            <dgm:param type="nodeHorzAlign" val="l"/>
            <dgm:param type="horzAlign" val="l"/>
          </dgm:alg>
        </dgm:if>
        <dgm:else name="Name40">
          <dgm:alg type="lin">
            <dgm:param type="linDir" val="fromR"/>
            <dgm:param type="nodeVertAlign" val="mid"/>
            <dgm:param type="vertAlign" val="mid"/>
            <dgm:param type="nodeHorzAlign" val="r"/>
            <dgm:param type="horzAlign" val="r"/>
          </dgm:alg>
        </dgm:else>
      </dgm:choose>
      <dgm:shape xmlns:r="http://schemas.openxmlformats.org/officeDocument/2006/relationships" r:blip="">
        <dgm:adjLst/>
      </dgm:shape>
      <dgm:presOf/>
      <dgm:constrLst>
        <dgm:constr type="w" for="ch" forName="rectComp" refType="w"/>
        <dgm:constr type="h" for="ch" forName="rectComp" refType="h"/>
        <dgm:constr type="h" for="des" forName="bgRect" refType="h"/>
        <dgm:constr type="primFontSz" for="des" forName="bgRectTx" op="equ" val="65"/>
      </dgm:constrLst>
      <dgm:ruleLst/>
      <dgm:forEach name="Name41" axis="ch" ptType="node" st="2">
        <dgm:layoutNode name="rectComp">
          <dgm:alg type="composite"/>
          <dgm:shape xmlns:r="http://schemas.openxmlformats.org/officeDocument/2006/relationships" r:blip="">
            <dgm:adjLst/>
          </dgm:shape>
          <dgm:presOf/>
          <dgm:constrLst>
            <dgm:constr type="userA"/>
            <dgm:constr type="l" for="ch" forName="bgRect"/>
            <dgm:constr type="t" for="ch" forName="bgRect"/>
            <dgm:constr type="w" for="ch" forName="bgRect" refType="userA" fact="1.2"/>
            <dgm:constr type="l" for="ch" forName="bgRectTx"/>
            <dgm:constr type="t" for="ch" forName="bgRectTx"/>
            <dgm:constr type="h" for="ch" forName="bgRectTx" refType="h" refFor="ch" refForName="bgRect" fact="0.3"/>
            <dgm:constr type="w" for="ch" forName="bgRectTx" refType="w" refFor="ch" refForName="bgRect" op="equ"/>
          </dgm:constrLst>
          <dgm:ruleLst/>
          <dgm:layoutNode name="bgRect" styleLbl="bgShp">
            <dgm:alg type="sp"/>
            <dgm:shape xmlns:r="http://schemas.openxmlformats.org/officeDocument/2006/relationships" type="roundRect" r:blip="" zOrderOff="-999">
              <dgm:adjLst>
                <dgm:adj idx="1" val="0.1"/>
              </dgm:adjLst>
            </dgm:shape>
            <dgm:presOf axis="desOrSelf" ptType="node"/>
            <dgm:constrLst/>
            <dgm:ruleLst/>
          </dgm:layoutNode>
          <dgm:layoutNode name="bgRectTx" styleLbl="bgShp">
            <dgm:varLst>
              <dgm:bulletEnabled val="1"/>
            </dgm:varLst>
            <dgm:alg type="tx"/>
            <dgm:shape xmlns:r="http://schemas.openxmlformats.org/officeDocument/2006/relationships" type="rect" r:blip="" zOrderOff="-999" hideGeom="1">
              <dgm:adjLst/>
            </dgm:shape>
            <dgm:presOf axis="desOrSelf" ptType="node"/>
            <dgm:constrLst/>
            <dgm:ruleLst>
              <dgm:rule type="primFontSz" val="5" fact="NaN" max="NaN"/>
            </dgm:ruleLst>
          </dgm:layoutNode>
        </dgm:layoutNode>
        <dgm:choose name="Name42">
          <dgm:if name="Name43" axis="self" ptType="node" func="revPos" op="gte" val="2">
            <dgm:layoutNode name="spComp">
              <dgm:alg type="composite"/>
              <dgm:shape xmlns:r="http://schemas.openxmlformats.org/officeDocument/2006/relationships" r:blip="">
                <dgm:adjLst/>
              </dgm:shape>
              <dgm:presOf/>
              <dgm:constrLst>
                <dgm:constr type="userA"/>
                <dgm:constr type="userB"/>
                <dgm:constr type="l" for="ch" forName="hSp"/>
                <dgm:constr type="t" for="ch" forName="hSp"/>
                <dgm:constr type="w" for="ch" forName="hSp" refType="userB"/>
                <dgm:constr type="wOff" for="ch" forName="hSp" refType="userA" fact="-0.2"/>
              </dgm:constrLst>
              <dgm:ruleLst/>
              <dgm:layoutNode name="hSp">
                <dgm:alg type="sp"/>
                <dgm:shape xmlns:r="http://schemas.openxmlformats.org/officeDocument/2006/relationships" r:blip="">
                  <dgm:adjLst/>
                </dgm:shape>
                <dgm:presOf/>
                <dgm:constrLst/>
                <dgm:ruleLst/>
              </dgm:layoutNode>
            </dgm:layoutNode>
          </dgm:if>
          <dgm:else name="Name44"/>
        </dgm:choose>
      </dgm:forEach>
    </dgm:layoutNode>
  </dgm:layoutNode>
</dgm:layoutDef>
</file>

<file path=word/diagrams/layout2.xml><?xml version="1.0" encoding="utf-8"?>
<dgm:layoutDef xmlns:dgm="http://schemas.openxmlformats.org/drawingml/2006/diagram" xmlns:a="http://schemas.openxmlformats.org/drawingml/2006/main" uniqueId="urn:microsoft.com/office/officeart/2005/8/layout/hierarchy5">
  <dgm:title val=""/>
  <dgm:desc val=""/>
  <dgm:catLst>
    <dgm:cat type="hierarchy" pri="6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 modelId="4">
          <dgm:prSet phldr="1"/>
        </dgm:pt>
        <dgm:pt modelId="5">
          <dgm:prSet phldr="1"/>
        </dgm:pt>
        <dgm:pt modelId="6">
          <dgm:prSet phldr="1"/>
        </dgm:pt>
      </dgm:ptLst>
      <dgm:cxnLst>
        <dgm:cxn modelId="7" srcId="0" destId="1" srcOrd="0" destOrd="0"/>
        <dgm:cxn modelId="8" srcId="1" destId="2" srcOrd="0" destOrd="0"/>
        <dgm:cxn modelId="9" srcId="1" destId="3" srcOrd="1" destOrd="0"/>
        <dgm:cxn modelId="23" srcId="2" destId="21" srcOrd="0" destOrd="0"/>
        <dgm:cxn modelId="24" srcId="2" destId="22" srcOrd="1" destOrd="0"/>
        <dgm:cxn modelId="33" srcId="3" destId="31" srcOrd="0" destOrd="0"/>
        <dgm:cxn modelId="10" srcId="0" destId="4" srcOrd="1" destOrd="0"/>
        <dgm:cxn modelId="11" srcId="0" destId="5" srcOrd="2" destOrd="0"/>
        <dgm:cxn modelId="12" srcId="0" destId="6" srcOrd="3" destOrd="0"/>
      </dgm:cxnLst>
      <dgm:bg/>
      <dgm:whole/>
    </dgm:dataModel>
  </dgm:sampData>
  <dgm:styleData>
    <dgm:dataModel>
      <dgm:ptLst>
        <dgm:pt modelId="0" type="doc"/>
        <dgm:pt modelId="1"/>
        <dgm:pt modelId="11"/>
        <dgm:pt modelId="12"/>
        <dgm:pt modelId="2"/>
        <dgm:pt modelId="3"/>
      </dgm:ptLst>
      <dgm:cxnLst>
        <dgm:cxn modelId="4" srcId="0" destId="1" srcOrd="0" destOrd="0"/>
        <dgm:cxn modelId="13" srcId="1" destId="11" srcOrd="0" destOrd="0"/>
        <dgm:cxn modelId="14" srcId="1" destId="12" srcOrd="1" destOrd="0"/>
        <dgm:cxn modelId="5" srcId="0" destId="2" srcOrd="1" destOrd="0"/>
        <dgm:cxn modelId="6" srcId="0" destId="3" srcOrd="2" destOrd="0"/>
      </dgm:cxnLst>
      <dgm:bg/>
      <dgm:whole/>
    </dgm:dataModel>
  </dgm:styleData>
  <dgm:clrData>
    <dgm:dataModel>
      <dgm:ptLst>
        <dgm:pt modelId="0" type="doc"/>
        <dgm:pt modelId="1"/>
        <dgm:pt modelId="2"/>
        <dgm:pt modelId="21"/>
        <dgm:pt modelId="211"/>
        <dgm:pt modelId="3"/>
        <dgm:pt modelId="31"/>
        <dgm:pt modelId="311"/>
        <dgm:pt modelId="4"/>
        <dgm:pt modelId="5"/>
        <dgm:pt modelId="6"/>
        <dgm:pt modelId="7"/>
      </dgm:ptLst>
      <dgm:cxnLst>
        <dgm:cxn modelId="8" srcId="0" destId="1" srcOrd="0" destOrd="0"/>
        <dgm:cxn modelId="9" srcId="1" destId="2" srcOrd="0" destOrd="0"/>
        <dgm:cxn modelId="10" srcId="1" destId="3" srcOrd="1" destOrd="0"/>
        <dgm:cxn modelId="23" srcId="2" destId="21" srcOrd="0" destOrd="0"/>
        <dgm:cxn modelId="24" srcId="21" destId="211" srcOrd="0" destOrd="0"/>
        <dgm:cxn modelId="33" srcId="3" destId="31" srcOrd="0" destOrd="0"/>
        <dgm:cxn modelId="34" srcId="31" destId="311" srcOrd="0" destOrd="0"/>
        <dgm:cxn modelId="11" srcId="0" destId="4" srcOrd="1" destOrd="0"/>
        <dgm:cxn modelId="12" srcId="0" destId="5" srcOrd="2" destOrd="0"/>
        <dgm:cxn modelId="13" srcId="0" destId="6" srcOrd="3" destOrd="0"/>
        <dgm:cxn modelId="14" srcId="0" destId="7" srcOrd="4" destOrd="0"/>
      </dgm:cxnLst>
      <dgm:bg/>
      <dgm:whole/>
    </dgm:dataModel>
  </dgm:clrData>
  <dgm:layoutNode name="mainComposite">
    <dgm:varLst>
      <dgm:chPref val="1"/>
      <dgm:dir/>
      <dgm:animOne val="branch"/>
      <dgm:animLvl val="lvl"/>
      <dgm:resizeHandles val="exact"/>
    </dgm:varLst>
    <dgm:alg type="composite"/>
    <dgm:presOf/>
    <dgm:shape xmlns:r="http://schemas.openxmlformats.org/officeDocument/2006/relationships" r:blip="">
      <dgm:adjLst/>
    </dgm:shape>
    <dgm:choose name="Name0">
      <dgm:if name="Name1" axis="ch" ptType="node" func="cnt" op="gte" val="2">
        <dgm:choose name="Name2">
          <dgm:if name="Name3" func="var" arg="dir" op="equ" val="norm">
            <dgm:constrLst>
              <dgm:constr type="l" for="ch" forName="hierFlow"/>
              <dgm:constr type="t" for="ch" forName="hierFlow" refType="h" fact="0.3"/>
              <dgm:constr type="r" for="ch" forName="hierFlow" refType="w" fact="0.98"/>
              <dgm:constr type="b" for="ch" forName="hierFlow" refType="h" fact="0.96"/>
              <dgm:constr type="l" for="ch" forName="bgShapesFlow"/>
              <dgm:constr type="t" for="ch" forName="bgShapesFlow"/>
              <dgm:constr type="r" for="ch" forName="bgShapesFlow" refType="w"/>
              <dgm:constr type="b" for="ch" forName="bgShapesFlow" refType="h"/>
              <dgm:constr type="h" for="des" forName="level1Shape" refType="h"/>
              <dgm:constr type="w" for="des" forName="level1Shape" refType="h" refFor="des" refForName="level1Shape" fact="2"/>
              <dgm:constr type="w" for="des" forName="level2Shape" refType="w" refFor="des" refForName="level1Shape" op="equ"/>
              <dgm:constr type="h" for="des" forName="level2Shape" refType="h" refFor="des" refForName="level1Shape" op="equ"/>
              <dgm:constr type="sp" for="des" refType="w" refFor="des" refForName="level1Shape" op="equ" fact="0.4"/>
              <dgm:constr type="sibSp" for="des" forName="hierChild1" refType="h" refFor="des" refForName="level1Shape" op="equ" fact="0.15"/>
              <dgm:constr type="sibSp" for="des" forName="hierChild2" refType="sibSp" refFor="des" refForName="hierChild1" op="equ"/>
              <dgm:constr type="sibSp" for="des" forName="hierChild3" refType="sibSp" refFor="des" refForName="hierChild1" op="equ"/>
              <dgm:constr type="userA" for="des" refType="w" refFor="des" refForName="level1Shape" op="equ"/>
              <dgm:constr type="userB" for="des" refType="sp" refFor="des" op="equ"/>
              <dgm:constr type="w" for="des" forName="firstBuf" refType="w" refFor="des" refForName="level1Shape" fact="0.1"/>
            </dgm:constrLst>
          </dgm:if>
          <dgm:else name="Name4">
            <dgm:constrLst>
              <dgm:constr type="l" for="ch" forName="hierFlow" refType="w" fact="0.02"/>
              <dgm:constr type="t" for="ch" forName="hierFlow" refType="h" fact="0.3"/>
              <dgm:constr type="r" for="ch" forName="hierFlow" refType="w"/>
              <dgm:constr type="b" for="ch" forName="hierFlow" refType="h" fact="0.96"/>
              <dgm:constr type="l" for="ch" forName="bgShapesFlow"/>
              <dgm:constr type="t" for="ch" forName="bgShapesFlow"/>
              <dgm:constr type="r" for="ch" forName="bgShapesFlow" refType="w"/>
              <dgm:constr type="b" for="ch" forName="bgShapesFlow" refType="h"/>
              <dgm:constr type="h" for="des" forName="level1Shape" refType="h"/>
              <dgm:constr type="w" for="des" forName="level1Shape" refType="h" refFor="des" refForName="level1Shape" fact="2"/>
              <dgm:constr type="w" for="des" forName="level2Shape" refType="w" refFor="des" refForName="level1Shape" op="equ"/>
              <dgm:constr type="h" for="des" forName="level2Shape" refType="h" refFor="des" refForName="level1Shape" op="equ"/>
              <dgm:constr type="sp" for="des" refType="w" refFor="des" refForName="level1Shape" op="equ" fact="0.4"/>
              <dgm:constr type="sibSp" for="des" forName="hierChild1" refType="h" refFor="des" refForName="level1Shape" op="equ" fact="0.15"/>
              <dgm:constr type="sibSp" for="des" forName="hierChild2" refType="sibSp" refFor="des" refForName="hierChild1" op="equ"/>
              <dgm:constr type="sibSp" for="des" forName="hierChild3" refType="sibSp" refFor="des" refForName="hierChild1" op="equ"/>
              <dgm:constr type="userA" for="des" refType="w" refFor="des" refForName="level1Shape" op="equ"/>
              <dgm:constr type="userB" for="des" refType="sp" refFor="des" op="equ"/>
              <dgm:constr type="w" for="des" forName="firstBuf" refType="w" refFor="des" refForName="level1Shape" fact="0.1"/>
            </dgm:constrLst>
          </dgm:else>
        </dgm:choose>
      </dgm:if>
      <dgm:else name="Name5">
        <dgm:constrLst>
          <dgm:constr type="l" for="ch" forName="hierFlow"/>
          <dgm:constr type="t" for="ch" forName="hierFlow"/>
          <dgm:constr type="r" for="ch" forName="hierFlow" refType="w"/>
          <dgm:constr type="b" for="ch" forName="hierFlow" refType="h"/>
          <dgm:constr type="l" for="ch" forName="bgShapesFlow"/>
          <dgm:constr type="t" for="ch" forName="bgShapesFlow"/>
          <dgm:constr type="r" for="ch" forName="bgShapesFlow" refType="w"/>
          <dgm:constr type="b" for="ch" forName="bgShapesFlow" refType="h"/>
          <dgm:constr type="h" for="des" forName="level1Shape" refType="h"/>
          <dgm:constr type="w" for="des" forName="level1Shape" refType="h" refFor="des" refForName="level1Shape" fact="2"/>
          <dgm:constr type="w" for="des" forName="level2Shape" refType="w" refFor="des" refForName="level1Shape" op="equ"/>
          <dgm:constr type="h" for="des" forName="level2Shape" refType="h" refFor="des" refForName="level1Shape" op="equ"/>
          <dgm:constr type="sp" for="des" refType="w" refFor="des" refForName="level1Shape" op="equ" fact="0.4"/>
          <dgm:constr type="sibSp" for="des" forName="hierChild1" refType="h" refFor="des" refForName="level1Shape" op="equ" fact="0.15"/>
          <dgm:constr type="sibSp" for="des" forName="hierChild2" refType="sibSp" refFor="des" refForName="hierChild1" op="equ"/>
          <dgm:constr type="sibSp" for="des" forName="hierChild3" refType="sibSp" refFor="des" refForName="hierChild1" op="equ"/>
          <dgm:constr type="userA" for="des" refType="w" refFor="des" refForName="level1Shape" op="equ"/>
          <dgm:constr type="userB" for="des" refType="sp" refFor="des" op="equ"/>
          <dgm:constr type="w" for="des" forName="firstBuf" refType="w" refFor="des" refForName="level1Shape" fact="0.1"/>
        </dgm:constrLst>
      </dgm:else>
    </dgm:choose>
    <dgm:ruleLst/>
    <dgm:layoutNode name="hierFlow">
      <dgm:choose name="Name6">
        <dgm:if name="Name7" func="var" arg="dir" op="equ" val="norm">
          <dgm:alg type="lin">
            <dgm:param type="linDir" val="fromL"/>
            <dgm:param type="nodeVertAlign" val="mid"/>
            <dgm:param type="vertAlign" val="mid"/>
            <dgm:param type="nodeHorzAlign" val="l"/>
            <dgm:param type="horzAlign" val="l"/>
            <dgm:param type="fallback" val="2D"/>
          </dgm:alg>
        </dgm:if>
        <dgm:else name="Name8">
          <dgm:alg type="lin">
            <dgm:param type="linDir" val="fromR"/>
            <dgm:param type="nodeVertAlign" val="mid"/>
            <dgm:param type="vertAlign" val="mid"/>
            <dgm:param type="nodeHorzAlign" val="r"/>
            <dgm:param type="horzAlign" val="r"/>
            <dgm:param type="fallback" val="2D"/>
          </dgm:alg>
        </dgm:else>
      </dgm:choose>
      <dgm:shape xmlns:r="http://schemas.openxmlformats.org/officeDocument/2006/relationships" r:blip="">
        <dgm:adjLst/>
      </dgm:shape>
      <dgm:presOf/>
      <dgm:constrLst>
        <dgm:constr type="primFontSz" for="des" ptType="node" op="equ" val="65"/>
        <dgm:constr type="primFontSz" for="des" forName="connTx" op="equ" val="55"/>
        <dgm:constr type="primFontSz" for="des" forName="connTx" refType="primFontSz" refFor="des" refPtType="node" op="lte" fact="0.8"/>
      </dgm:constrLst>
      <dgm:ruleLst/>
      <dgm:choose name="Name9">
        <dgm:if name="Name10" axis="ch" ptType="node" func="cnt" op="gte" val="2">
          <dgm:layoutNode name="firstBuf">
            <dgm:alg type="sp"/>
            <dgm:shape xmlns:r="http://schemas.openxmlformats.org/officeDocument/2006/relationships" r:blip="">
              <dgm:adjLst/>
            </dgm:shape>
            <dgm:presOf/>
            <dgm:constrLst/>
            <dgm:ruleLst/>
          </dgm:layoutNode>
        </dgm:if>
        <dgm:else name="Name11"/>
      </dgm:choose>
      <dgm:layoutNode name="hierChild1">
        <dgm:varLst>
          <dgm:chPref val="1"/>
          <dgm:animOne val="branch"/>
          <dgm:animLvl val="lvl"/>
        </dgm:varLst>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constrLst/>
        <dgm:ruleLst/>
        <dgm:forEach name="Name15" axis="ch" cnt="3">
          <dgm:forEach name="Name16" axis="self" ptType="node">
            <dgm:layoutNode name="Name17">
              <dgm:choose name="Name18">
                <dgm:if name="Name19" func="var" arg="dir" op="equ" val="norm">
                  <dgm:alg type="hierRoot">
                    <dgm:param type="hierAlign" val="lCtrCh"/>
                  </dgm:alg>
                </dgm:if>
                <dgm:else name="Name20">
                  <dgm:alg type="hierRoot">
                    <dgm:param type="hierAlign" val="rCtrCh"/>
                  </dgm:alg>
                </dgm:else>
              </dgm:choose>
              <dgm:shape xmlns:r="http://schemas.openxmlformats.org/officeDocument/2006/relationships" r:blip="">
                <dgm:adjLst/>
              </dgm:shape>
              <dgm:presOf/>
              <dgm:constrLst/>
              <dgm:ruleLst/>
              <dgm:layoutNode name="level1Shap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hierChild2">
                <dgm:choose name="Name21">
                  <dgm:if name="Name22" func="var" arg="dir" op="equ" val="norm">
                    <dgm:alg type="hierChild">
                      <dgm:param type="linDir" val="fromT"/>
                      <dgm:param type="chAlign" val="l"/>
                    </dgm:alg>
                  </dgm:if>
                  <dgm:else name="Name23">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24" axis="self" ptType="parTrans" cnt="1">
                    <dgm:layoutNode name="Name25">
                      <dgm:choose name="Name26">
                        <dgm:if name="Name27" func="var" arg="dir" op="equ" val="norm">
                          <dgm:alg type="conn">
                            <dgm:param type="dim" val="1D"/>
                            <dgm:param type="begPts" val="midR"/>
                            <dgm:param type="endPts" val="midL"/>
                            <dgm:param type="endSty" val="noArr"/>
                          </dgm:alg>
                        </dgm:if>
                        <dgm:else name="Name28">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29" axis="self" ptType="node">
                    <dgm:layoutNode name="Name30">
                      <dgm:choose name="Name31">
                        <dgm:if name="Name32" func="var" arg="dir" op="equ" val="norm">
                          <dgm:alg type="hierRoot">
                            <dgm:param type="hierAlign" val="lCtrCh"/>
                          </dgm:alg>
                        </dgm:if>
                        <dgm:else name="Name33">
                          <dgm:alg type="hierRoot">
                            <dgm:param type="hierAlign" val="rCtrCh"/>
                          </dgm:alg>
                        </dgm:else>
                      </dgm:choose>
                      <dgm:shape xmlns:r="http://schemas.openxmlformats.org/officeDocument/2006/relationships" r:blip="">
                        <dgm:adjLst/>
                      </dgm:shape>
                      <dgm:presOf/>
                      <dgm:constrLst/>
                      <dgm:ruleLst/>
                      <dgm:layoutNode name="level2Shape">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hierChild3">
                        <dgm:choose name="Name34">
                          <dgm:if name="Name35" func="var" arg="dir" op="equ" val="norm">
                            <dgm:alg type="hierChild">
                              <dgm:param type="linDir" val="fromT"/>
                              <dgm:param type="chAlign" val="l"/>
                            </dgm:alg>
                          </dgm:if>
                          <dgm:else name="Name36">
                            <dgm:alg type="hierChild">
                              <dgm:param type="linDir" val="fromT"/>
                              <dgm:param type="chAlign" val="r"/>
                            </dgm:alg>
                          </dgm:else>
                        </dgm:choose>
                        <dgm:shape xmlns:r="http://schemas.openxmlformats.org/officeDocument/2006/relationships" r:blip="">
                          <dgm:adjLst/>
                        </dgm:shape>
                        <dgm:presOf/>
                        <dgm:constrLst/>
                        <dgm:ruleLst/>
                        <dgm:forEach name="Name37" ref="repeat"/>
                      </dgm:layoutNode>
                    </dgm:layoutNode>
                  </dgm:forEach>
                </dgm:forEach>
              </dgm:layoutNode>
            </dgm:layoutNode>
          </dgm:forEach>
        </dgm:forEach>
      </dgm:layoutNode>
    </dgm:layoutNode>
    <dgm:layoutNode name="bgShapesFlow">
      <dgm:choose name="Name38">
        <dgm:if name="Name39" func="var" arg="dir" op="equ" val="norm">
          <dgm:alg type="lin">
            <dgm:param type="linDir" val="fromL"/>
            <dgm:param type="nodeVertAlign" val="mid"/>
            <dgm:param type="vertAlign" val="mid"/>
            <dgm:param type="nodeHorzAlign" val="l"/>
            <dgm:param type="horzAlign" val="l"/>
          </dgm:alg>
        </dgm:if>
        <dgm:else name="Name40">
          <dgm:alg type="lin">
            <dgm:param type="linDir" val="fromR"/>
            <dgm:param type="nodeVertAlign" val="mid"/>
            <dgm:param type="vertAlign" val="mid"/>
            <dgm:param type="nodeHorzAlign" val="r"/>
            <dgm:param type="horzAlign" val="r"/>
          </dgm:alg>
        </dgm:else>
      </dgm:choose>
      <dgm:shape xmlns:r="http://schemas.openxmlformats.org/officeDocument/2006/relationships" r:blip="">
        <dgm:adjLst/>
      </dgm:shape>
      <dgm:presOf/>
      <dgm:constrLst>
        <dgm:constr type="w" for="ch" forName="rectComp" refType="w"/>
        <dgm:constr type="h" for="ch" forName="rectComp" refType="h"/>
        <dgm:constr type="h" for="des" forName="bgRect" refType="h"/>
        <dgm:constr type="primFontSz" for="des" forName="bgRectTx" op="equ" val="65"/>
      </dgm:constrLst>
      <dgm:ruleLst/>
      <dgm:forEach name="Name41" axis="ch" ptType="node" st="2">
        <dgm:layoutNode name="rectComp">
          <dgm:alg type="composite"/>
          <dgm:shape xmlns:r="http://schemas.openxmlformats.org/officeDocument/2006/relationships" r:blip="">
            <dgm:adjLst/>
          </dgm:shape>
          <dgm:presOf/>
          <dgm:constrLst>
            <dgm:constr type="userA"/>
            <dgm:constr type="l" for="ch" forName="bgRect"/>
            <dgm:constr type="t" for="ch" forName="bgRect"/>
            <dgm:constr type="w" for="ch" forName="bgRect" refType="userA" fact="1.2"/>
            <dgm:constr type="l" for="ch" forName="bgRectTx"/>
            <dgm:constr type="t" for="ch" forName="bgRectTx"/>
            <dgm:constr type="h" for="ch" forName="bgRectTx" refType="h" refFor="ch" refForName="bgRect" fact="0.3"/>
            <dgm:constr type="w" for="ch" forName="bgRectTx" refType="w" refFor="ch" refForName="bgRect" op="equ"/>
          </dgm:constrLst>
          <dgm:ruleLst/>
          <dgm:layoutNode name="bgRect" styleLbl="bgShp">
            <dgm:alg type="sp"/>
            <dgm:shape xmlns:r="http://schemas.openxmlformats.org/officeDocument/2006/relationships" type="roundRect" r:blip="" zOrderOff="-999">
              <dgm:adjLst>
                <dgm:adj idx="1" val="0.1"/>
              </dgm:adjLst>
            </dgm:shape>
            <dgm:presOf axis="desOrSelf" ptType="node"/>
            <dgm:constrLst/>
            <dgm:ruleLst/>
          </dgm:layoutNode>
          <dgm:layoutNode name="bgRectTx" styleLbl="bgShp">
            <dgm:varLst>
              <dgm:bulletEnabled val="1"/>
            </dgm:varLst>
            <dgm:alg type="tx"/>
            <dgm:shape xmlns:r="http://schemas.openxmlformats.org/officeDocument/2006/relationships" type="rect" r:blip="" zOrderOff="-999" hideGeom="1">
              <dgm:adjLst/>
            </dgm:shape>
            <dgm:presOf axis="desOrSelf" ptType="node"/>
            <dgm:constrLst/>
            <dgm:ruleLst>
              <dgm:rule type="primFontSz" val="5" fact="NaN" max="NaN"/>
            </dgm:ruleLst>
          </dgm:layoutNode>
        </dgm:layoutNode>
        <dgm:choose name="Name42">
          <dgm:if name="Name43" axis="self" ptType="node" func="revPos" op="gte" val="2">
            <dgm:layoutNode name="spComp">
              <dgm:alg type="composite"/>
              <dgm:shape xmlns:r="http://schemas.openxmlformats.org/officeDocument/2006/relationships" r:blip="">
                <dgm:adjLst/>
              </dgm:shape>
              <dgm:presOf/>
              <dgm:constrLst>
                <dgm:constr type="userA"/>
                <dgm:constr type="userB"/>
                <dgm:constr type="l" for="ch" forName="hSp"/>
                <dgm:constr type="t" for="ch" forName="hSp"/>
                <dgm:constr type="w" for="ch" forName="hSp" refType="userB"/>
                <dgm:constr type="wOff" for="ch" forName="hSp" refType="userA" fact="-0.2"/>
              </dgm:constrLst>
              <dgm:ruleLst/>
              <dgm:layoutNode name="hSp">
                <dgm:alg type="sp"/>
                <dgm:shape xmlns:r="http://schemas.openxmlformats.org/officeDocument/2006/relationships" r:blip="">
                  <dgm:adjLst/>
                </dgm:shape>
                <dgm:presOf/>
                <dgm:constrLst/>
                <dgm:ruleLst/>
              </dgm:layoutNode>
            </dgm:layoutNode>
          </dgm:if>
          <dgm:else name="Name44"/>
        </dgm:choose>
      </dgm:forEach>
    </dgm:layoutNode>
  </dgm:layoutNode>
</dgm:layoutDef>
</file>

<file path=word/diagrams/layout3.xml><?xml version="1.0" encoding="utf-8"?>
<dgm:layoutDef xmlns:dgm="http://schemas.openxmlformats.org/drawingml/2006/diagram" xmlns:a="http://schemas.openxmlformats.org/drawingml/2006/main" uniqueId="urn:microsoft.com/office/officeart/2005/8/layout/pyramid1">
  <dgm:title val=""/>
  <dgm:desc val=""/>
  <dgm:catLst>
    <dgm:cat type="pyramid" pri="1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pyra">
          <dgm:param type="linDir" val="fromB"/>
          <dgm:param type="txDir" val="fromT"/>
          <dgm:param type="pyraAcctPos" val="aft"/>
          <dgm:param type="pyraAcctTxMar" val="step"/>
          <dgm:param type="pyraAcctBkgdNode" val="acctBkgd"/>
          <dgm:param type="pyraAcctTxNode" val="acctTx"/>
          <dgm:param type="pyraLvlNode" val="level"/>
        </dgm:alg>
      </dgm:if>
      <dgm:else name="Name3">
        <dgm:alg type="pyra">
          <dgm:param type="linDir" val="fromB"/>
          <dgm:param type="txDir" val="fromT"/>
          <dgm:param type="pyraAcctPos" val="bef"/>
          <dgm:param type="pyraAcctTxMar" val="step"/>
          <dgm:param type="pyraAcctBkgdNode" val="acctBkgd"/>
          <dgm:param type="pyraAcctTxNode" val="acctTx"/>
          <dgm:param type="pyraLvlNode" val="level"/>
        </dgm:alg>
      </dgm:else>
    </dgm:choose>
    <dgm:shape xmlns:r="http://schemas.openxmlformats.org/officeDocument/2006/relationships" r:blip="">
      <dgm:adjLst/>
    </dgm:shape>
    <dgm:presOf/>
    <dgm:choose name="Name4">
      <dgm:if name="Name5" axis="root des" ptType="all node" func="maxDepth" op="gte" val="2">
        <dgm:constrLst>
          <dgm:constr type="primFontSz" for="des" forName="levelTx" op="equ"/>
          <dgm:constr type="secFontSz" for="des" forName="acctTx" op="equ"/>
          <dgm:constr type="pyraAcctRatio" val="0.32"/>
        </dgm:constrLst>
      </dgm:if>
      <dgm:else name="Name6">
        <dgm:constrLst>
          <dgm:constr type="primFontSz" for="des" forName="levelTx" op="equ"/>
          <dgm:constr type="secFontSz" for="des" forName="acctTx" op="equ"/>
          <dgm:constr type="pyraAcctRatio"/>
        </dgm:constrLst>
      </dgm:else>
    </dgm:choose>
    <dgm:ruleLst/>
    <dgm:forEach name="Name7" axis="ch" ptType="node">
      <dgm:layoutNode name="Name8">
        <dgm:alg type="composite">
          <dgm:param type="horzAlign" val="none"/>
        </dgm:alg>
        <dgm:shape xmlns:r="http://schemas.openxmlformats.org/officeDocument/2006/relationships" r:blip="">
          <dgm:adjLst/>
        </dgm:shape>
        <dgm:presOf/>
        <dgm:choose name="Name9">
          <dgm:if name="Name10" axis="self" ptType="node" func="pos" op="equ" val="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dgm:constr type="h" for="ch" forName="levelTx" refType="h" refFor="ch" refForName="level"/>
            </dgm:constrLst>
          </dgm:if>
          <dgm:else name="Name1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fact="0.65"/>
              <dgm:constr type="h" for="ch" forName="levelTx" refType="h" refFor="ch" refForName="level"/>
            </dgm:constrLst>
          </dgm:else>
        </dgm:choose>
        <dgm:ruleLst/>
        <dgm:choose name="Name12">
          <dgm:if name="Name13" axis="ch" ptType="node" func="cnt" op="gte" val="1">
            <dgm:layoutNode name="acctBkgd" styleLbl="alignAcc1">
              <dgm:alg type="sp"/>
              <dgm:shape xmlns:r="http://schemas.openxmlformats.org/officeDocument/2006/relationships" type="nonIsoscelesTrapezoid" r:blip="">
                <dgm:adjLst/>
              </dgm:shape>
              <dgm:presOf axis="des" ptType="node"/>
              <dgm:constrLst/>
              <dgm:ruleLst/>
            </dgm:layoutNode>
            <dgm:layoutNode name="acctTx" styleLbl="alignAcc1">
              <dgm:varLst>
                <dgm:bulletEnabled val="1"/>
              </dgm:varLst>
              <dgm:alg type="tx">
                <dgm:param type="stBulletLvl" val="1"/>
                <dgm:param type="txAnchorVertCh" val="mid"/>
              </dgm:alg>
              <dgm:shape xmlns:r="http://schemas.openxmlformats.org/officeDocument/2006/relationships" type="nonIsoscelesTrapezoid" r:blip="" hideGeom="1">
                <dgm:adjLst/>
              </dgm:shape>
              <dgm:presOf axis="des" ptType="node"/>
              <dgm:constrLst>
                <dgm:constr type="secFontSz" val="65"/>
                <dgm:constr type="primFontSz" refType="secFontSz"/>
                <dgm:constr type="tMarg" refType="secFontSz" fact="0.3"/>
                <dgm:constr type="bMarg" refType="secFontSz" fact="0.3"/>
                <dgm:constr type="lMarg" refType="secFontSz" fact="0.3"/>
                <dgm:constr type="rMarg" refType="secFontSz" fact="0.3"/>
              </dgm:constrLst>
              <dgm:ruleLst>
                <dgm:rule type="secFontSz" val="5" fact="NaN" max="NaN"/>
              </dgm:ruleLst>
            </dgm:layoutNode>
          </dgm:if>
          <dgm:else name="Name14"/>
        </dgm:choose>
        <dgm:layoutNode name="level">
          <dgm:varLst>
            <dgm:chMax val="1"/>
            <dgm:bulletEnabled val="1"/>
          </dgm:varLst>
          <dgm:alg type="sp"/>
          <dgm:shape xmlns:r="http://schemas.openxmlformats.org/officeDocument/2006/relationships" type="trapezoid" r:blip="">
            <dgm:adjLst/>
          </dgm:shape>
          <dgm:presOf axis="self"/>
          <dgm:constrLst>
            <dgm:constr type="h" val="500"/>
            <dgm:constr type="w" val="1"/>
          </dgm:constrLst>
          <dgm:ruleLst/>
        </dgm:layoutNode>
        <dgm:layoutNode name="levelTx" styleLbl="revTx">
          <dgm:varLst>
            <dgm:chMax val="1"/>
            <dgm:bulletEnabled val="1"/>
          </dgm:varLst>
          <dgm:alg type="tx"/>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layoutNode>
    </dgm:forEach>
  </dgm:layoutNode>
</dgm:layoutDef>
</file>

<file path=word/diagrams/layout4.xml><?xml version="1.0" encoding="utf-8"?>
<dgm:layoutDef xmlns:dgm="http://schemas.openxmlformats.org/drawingml/2006/diagram" xmlns:a="http://schemas.openxmlformats.org/drawingml/2006/main" uniqueId="urn:microsoft.com/office/officeart/2005/8/layout/vProcess5">
  <dgm:title val=""/>
  <dgm:desc val=""/>
  <dgm:catLst>
    <dgm:cat type="process" pri="14000"/>
  </dgm:catLst>
  <dgm:sampData>
    <dgm:dataModel>
      <dgm:ptLst>
        <dgm:pt modelId="0" type="doc"/>
        <dgm:pt modelId="1">
          <dgm:prSet phldr="1"/>
        </dgm:pt>
        <dgm:pt modelId="2">
          <dgm:prSet phldr="1"/>
        </dgm:pt>
        <dgm:pt modelId="3">
          <dgm:prSet phldr="1"/>
        </dgm:pt>
      </dgm:ptLst>
      <dgm:cxnLst>
        <dgm:cxn modelId="5" srcId="0" destId="1" srcOrd="0" destOrd="0"/>
        <dgm:cxn modelId="6" srcId="0" destId="2" srcOrd="1" destOrd="0"/>
        <dgm:cxn modelId="7" srcId="0" destId="3" srcOrd="2"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6" srcId="0" destId="1" srcOrd="0" destOrd="0"/>
        <dgm:cxn modelId="7" srcId="0" destId="2" srcOrd="1" destOrd="0"/>
        <dgm:cxn modelId="8" srcId="0" destId="3" srcOrd="2" destOrd="0"/>
        <dgm:cxn modelId="9" srcId="0" destId="4" srcOrd="3" destOrd="0"/>
      </dgm:cxnLst>
      <dgm:bg/>
      <dgm:whole/>
    </dgm:dataModel>
  </dgm:clrData>
  <dgm:layoutNode name="outerComposite">
    <dgm:varLst>
      <dgm:chMax val="5"/>
      <dgm:dir/>
      <dgm:resizeHandles val="exact"/>
    </dgm:varLst>
    <dgm:alg type="composite"/>
    <dgm:shape xmlns:r="http://schemas.openxmlformats.org/officeDocument/2006/relationships" r:blip="">
      <dgm:adjLst/>
    </dgm:shape>
    <dgm:presOf/>
    <dgm:choose name="Name0">
      <dgm:if name="Name1" func="var" arg="dir" op="equ" val="norm">
        <dgm:constrLst>
          <dgm:constr type="primFontSz" for="ch" ptType="node" op="equ" val="65"/>
          <dgm:constr type="w" for="ch" forName="dummyMaxCanvas" refType="w"/>
          <dgm:constr type="h" for="ch" forName="dummyMaxCanvas" refType="h"/>
          <dgm:constr type="w" for="ch" forName="OneNode_1" refType="w"/>
          <dgm:constr type="h" for="ch" forName="OneNode_1" refType="h" fact="0.5"/>
          <dgm:constr type="ctrY" for="ch" forName="OneNode_1" refType="h" fact="0.5"/>
          <dgm:constr type="w" for="ch" forName="TwoNodes_1" refType="w" fact="0.85"/>
          <dgm:constr type="h" for="ch" forName="TwoNodes_1" refType="h" fact="0.45"/>
          <dgm:constr type="t" for="ch" forName="TwoNodes_1"/>
          <dgm:constr type="l" for="ch" forName="TwoNodes_1"/>
          <dgm:constr type="w" for="ch" forName="TwoNodes_2" refType="w" fact="0.85"/>
          <dgm:constr type="h" for="ch" forName="TwoNodes_2" refType="h" fact="0.45"/>
          <dgm:constr type="b" for="ch" forName="TwoNodes_2" refType="h"/>
          <dgm:constr type="r" for="ch" forName="TwoNodes_2" refType="w"/>
          <dgm:constr type="w" for="ch" forName="TwoConn_1-2" refType="h" refFor="ch" refForName="TwoNodes_1" fact="0.65"/>
          <dgm:constr type="h" for="ch" forName="TwoConn_1-2" refType="h" refFor="ch" refForName="TwoNodes_1" fact="0.65"/>
          <dgm:constr type="ctrY" for="ch" forName="TwoConn_1-2" refType="h" fact="0.5"/>
          <dgm:constr type="r" for="ch" forName="TwoConn_1-2" refType="r" refFor="ch" refForName="TwoNodes_1"/>
          <dgm:constr type="r" for="ch" forName="TwoNodes_1_text" refType="l" refFor="ch" refForName="TwoConn_1-2"/>
          <dgm:constr type="rOff" for="ch" forName="TwoNodes_1_text" refType="w" refFor="ch" refForName="TwoConn_1-2" fact="-0.5"/>
          <dgm:constr type="t" for="ch" forName="TwoNodes_1_text" refType="t" refFor="ch" refForName="TwoNodes_1"/>
          <dgm:constr type="b" for="ch" forName="TwoNodes_1_text" refType="b" refFor="ch" refForName="TwoNodes_1"/>
          <dgm:constr type="l" for="ch" forName="TwoNodes_1_text" refType="l" refFor="ch" refForName="TwoNodes_1"/>
          <dgm:constr type="r" for="ch" forName="TwoNodes_2_text" refType="l" refFor="ch" refForName="TwoConn_1-2"/>
          <dgm:constr type="t" for="ch" forName="TwoNodes_2_text" refType="t" refFor="ch" refForName="TwoNodes_2"/>
          <dgm:constr type="b" for="ch" forName="TwoNodes_2_text" refType="b" refFor="ch" refForName="TwoNodes_2"/>
          <dgm:constr type="l" for="ch" forName="TwoNodes_2_text" refType="l" refFor="ch" refForName="TwoNodes_2"/>
          <dgm:constr type="w" for="ch" forName="ThreeNodes_1" refType="w" fact="0.85"/>
          <dgm:constr type="h" for="ch" forName="ThreeNodes_1" refType="h" fact="0.3"/>
          <dgm:constr type="t" for="ch" forName="ThreeNodes_1"/>
          <dgm:constr type="l" for="ch" forName="ThreeNodes_1"/>
          <dgm:constr type="w" for="ch" forName="ThreeNodes_2" refType="w" fact="0.85"/>
          <dgm:constr type="h" for="ch" forName="ThreeNodes_2" refType="h" fact="0.3"/>
          <dgm:constr type="ctrY" for="ch" forName="ThreeNodes_2" refType="h" fact="0.5"/>
          <dgm:constr type="ctrX" for="ch" forName="ThreeNodes_2" refType="w" fact="0.5"/>
          <dgm:constr type="w" for="ch" forName="ThreeNodes_3" refType="w" fact="0.85"/>
          <dgm:constr type="h" for="ch" forName="ThreeNodes_3" refType="h" fact="0.3"/>
          <dgm:constr type="b" for="ch" forName="ThreeNodes_3" refType="h"/>
          <dgm:constr type="r" for="ch" forName="ThreeNodes_3" refType="w"/>
          <dgm:constr type="w" for="ch" forName="ThreeConn_1-2" refType="h" refFor="ch" refForName="ThreeNodes_1" fact="0.65"/>
          <dgm:constr type="h" for="ch" forName="ThreeConn_1-2" refType="h" refFor="ch" refForName="ThreeNodes_1" fact="0.65"/>
          <dgm:constr type="ctrY" for="ch" forName="ThreeConn_1-2" refType="h" fact="0.325"/>
          <dgm:constr type="r" for="ch" forName="ThreeConn_1-2" refType="r" refFor="ch" refForName="ThreeNodes_1"/>
          <dgm:constr type="w" for="ch" forName="ThreeConn_2-3" refType="h" refFor="ch" refForName="ThreeNodes_2" fact="0.65"/>
          <dgm:constr type="h" for="ch" forName="ThreeConn_2-3" refType="h" refFor="ch" refForName="ThreeNodes_2" fact="0.65"/>
          <dgm:constr type="ctrY" for="ch" forName="ThreeConn_2-3" refType="h" fact="0.673"/>
          <dgm:constr type="r" for="ch" forName="ThreeConn_2-3" refType="r" refFor="ch" refForName="ThreeNodes_2"/>
          <dgm:constr type="r" for="ch" forName="ThreeNodes_1_text" refType="l" refFor="ch" refForName="ThreeConn_1-2"/>
          <dgm:constr type="rOff" for="ch" forName="ThreeNodes_1_text" refType="w" refFor="ch" refForName="ThreeConn_1-2" fact="-0.57"/>
          <dgm:constr type="t" for="ch" forName="ThreeNodes_1_text" refType="t" refFor="ch" refForName="ThreeNodes_1"/>
          <dgm:constr type="b" for="ch" forName="ThreeNodes_1_text" refType="b" refFor="ch" refForName="ThreeNodes_1"/>
          <dgm:constr type="l" for="ch" forName="ThreeNodes_1_text" refType="l" refFor="ch" refForName="ThreeNodes_1"/>
          <dgm:constr type="r" for="ch" forName="ThreeNodes_2_text" refType="l" refFor="ch" refForName="ThreeConn_1-2"/>
          <dgm:constr type="t" for="ch" forName="ThreeNodes_2_text" refType="t" refFor="ch" refForName="ThreeNodes_2"/>
          <dgm:constr type="b" for="ch" forName="ThreeNodes_2_text" refType="b" refFor="ch" refForName="ThreeNodes_2"/>
          <dgm:constr type="l" for="ch" forName="ThreeNodes_2_text" refType="l" refFor="ch" refForName="ThreeNodes_2"/>
          <dgm:constr type="r" for="ch" forName="ThreeNodes_3_text" refType="l" refFor="ch" refForName="ThreeConn_2-3"/>
          <dgm:constr type="t" for="ch" forName="ThreeNodes_3_text" refType="t" refFor="ch" refForName="ThreeNodes_3"/>
          <dgm:constr type="b" for="ch" forName="ThreeNodes_3_text" refType="b" refFor="ch" refForName="ThreeNodes_3"/>
          <dgm:constr type="l" for="ch" forName="ThreeNodes_3_text" refType="l" refFor="ch" refForName="ThreeNodes_3"/>
          <dgm:constr type="w" for="ch" forName="FourNodes_1" refType="w" fact="0.8"/>
          <dgm:constr type="h" for="ch" forName="FourNodes_1" refType="h" fact="0.22"/>
          <dgm:constr type="t" for="ch" forName="FourNodes_1"/>
          <dgm:constr type="l" for="ch" forName="FourNodes_1"/>
          <dgm:constr type="w" for="ch" forName="FourNodes_2" refType="w" fact="0.8"/>
          <dgm:constr type="h" for="ch" forName="FourNodes_2" refType="h" fact="0.22"/>
          <dgm:constr type="ctrY" for="ch" forName="FourNodes_2" refType="h" fact="0.37"/>
          <dgm:constr type="ctrX" for="ch" forName="FourNodes_2" refType="w" fact="0.467"/>
          <dgm:constr type="w" for="ch" forName="FourNodes_3" refType="w" fact="0.8"/>
          <dgm:constr type="h" for="ch" forName="FourNodes_3" refType="h" fact="0.22"/>
          <dgm:constr type="ctrY" for="ch" forName="FourNodes_3" refType="h" fact="0.63"/>
          <dgm:constr type="ctrX" for="ch" forName="FourNodes_3" refType="w" fact="0.533"/>
          <dgm:constr type="w" for="ch" forName="FourNodes_4" refType="w" fact="0.8"/>
          <dgm:constr type="h" for="ch" forName="FourNodes_4" refType="h" fact="0.22"/>
          <dgm:constr type="b" for="ch" forName="FourNodes_4" refType="h"/>
          <dgm:constr type="r" for="ch" forName="FourNodes_4" refType="w"/>
          <dgm:constr type="w" for="ch" forName="FourConn_1-2" refType="h" refFor="ch" refForName="FourNodes_1" fact="0.65"/>
          <dgm:constr type="h" for="ch" forName="FourConn_1-2" refType="h" refFor="ch" refForName="FourNodes_1" fact="0.65"/>
          <dgm:constr type="ctrY" for="ch" forName="FourConn_1-2" refType="h" fact="0.24"/>
          <dgm:constr type="r" for="ch" forName="FourConn_1-2" refType="r" refFor="ch" refForName="FourNodes_1"/>
          <dgm:constr type="w" for="ch" forName="FourConn_2-3" refType="h" refFor="ch" refForName="FourNodes_2" fact="0.65"/>
          <dgm:constr type="h" for="ch" forName="FourConn_2-3" refType="h" refFor="ch" refForName="FourNodes_2" fact="0.65"/>
          <dgm:constr type="ctrY" for="ch" forName="FourConn_2-3" refType="h" fact="0.5"/>
          <dgm:constr type="r" for="ch" forName="FourConn_2-3" refType="r" refFor="ch" refForName="FourNodes_2"/>
          <dgm:constr type="w" for="ch" forName="FourConn_3-4" refType="h" refFor="ch" refForName="FourNodes_3" fact="0.65"/>
          <dgm:constr type="h" for="ch" forName="FourConn_3-4" refType="h" refFor="ch" refForName="FourNodes_3" fact="0.65"/>
          <dgm:constr type="ctrY" for="ch" forName="FourConn_3-4" refType="h" fact="0.76"/>
          <dgm:constr type="r" for="ch" forName="FourConn_3-4" refType="r" refFor="ch" refForName="FourNodes_3"/>
          <dgm:constr type="r" for="ch" forName="FourNodes_1_text" refType="l" refFor="ch" refForName="FourConn_1-2"/>
          <dgm:constr type="rOff" for="ch" forName="FourNodes_1_text" refType="w" refFor="ch" refForName="FourConn_1-2" fact="-0.7"/>
          <dgm:constr type="t" for="ch" forName="FourNodes_1_text" refType="t" refFor="ch" refForName="FourNodes_1"/>
          <dgm:constr type="b" for="ch" forName="FourNodes_1_text" refType="b" refFor="ch" refForName="FourNodes_1"/>
          <dgm:constr type="l" for="ch" forName="FourNodes_1_text" refType="l" refFor="ch" refForName="FourNodes_1"/>
          <dgm:constr type="r" for="ch" forName="FourNodes_2_text" refType="l" refFor="ch" refForName="FourConn_1-2"/>
          <dgm:constr type="t" for="ch" forName="FourNodes_2_text" refType="t" refFor="ch" refForName="FourNodes_2"/>
          <dgm:constr type="b" for="ch" forName="FourNodes_2_text" refType="b" refFor="ch" refForName="FourNodes_2"/>
          <dgm:constr type="l" for="ch" forName="FourNodes_2_text" refType="l" refFor="ch" refForName="FourNodes_2"/>
          <dgm:constr type="r" for="ch" forName="FourNodes_3_text" refType="l" refFor="ch" refForName="FourConn_2-3"/>
          <dgm:constr type="t" for="ch" forName="FourNodes_3_text" refType="t" refFor="ch" refForName="FourNodes_3"/>
          <dgm:constr type="b" for="ch" forName="FourNodes_3_text" refType="b" refFor="ch" refForName="FourNodes_3"/>
          <dgm:constr type="l" for="ch" forName="FourNodes_3_text" refType="l" refFor="ch" refForName="FourNodes_3"/>
          <dgm:constr type="r" for="ch" forName="FourNodes_4_text" refType="l" refFor="ch" refForName="FourConn_3-4"/>
          <dgm:constr type="t" for="ch" forName="FourNodes_4_text" refType="t" refFor="ch" refForName="FourNodes_4"/>
          <dgm:constr type="b" for="ch" forName="FourNodes_4_text" refType="b" refFor="ch" refForName="FourNodes_4"/>
          <dgm:constr type="l" for="ch" forName="FourNodes_4_text" refType="l" refFor="ch" refForName="FourNodes_4"/>
          <dgm:constr type="w" for="ch" forName="FiveNodes_1" refType="w" fact="0.77"/>
          <dgm:constr type="h" for="ch" forName="FiveNodes_1" refType="h" fact="0.18"/>
          <dgm:constr type="t" for="ch" forName="FiveNodes_1"/>
          <dgm:constr type="l" for="ch" forName="FiveNodes_1"/>
          <dgm:constr type="w" for="ch" forName="FiveNodes_2" refType="w" fact="0.77"/>
          <dgm:constr type="h" for="ch" forName="FiveNodes_2" refType="h" fact="0.18"/>
          <dgm:constr type="ctrY" for="ch" forName="FiveNodes_2" refType="h" fact="0.295"/>
          <dgm:constr type="ctrX" for="ch" forName="FiveNodes_2" refType="w" fact="0.4425"/>
          <dgm:constr type="w" for="ch" forName="FiveNodes_3" refType="w" fact="0.77"/>
          <dgm:constr type="h" for="ch" forName="FiveNodes_3" refType="h" fact="0.18"/>
          <dgm:constr type="ctrY" for="ch" forName="FiveNodes_3" refType="h" fact="0.5"/>
          <dgm:constr type="ctrX" for="ch" forName="FiveNodes_3" refType="w" fact="0.5"/>
          <dgm:constr type="w" for="ch" forName="FiveNodes_4" refType="w" fact="0.77"/>
          <dgm:constr type="h" for="ch" forName="FiveNodes_4" refType="h" fact="0.18"/>
          <dgm:constr type="ctrY" for="ch" forName="FiveNodes_4" refType="h" fact="0.705"/>
          <dgm:constr type="ctrX" for="ch" forName="FiveNodes_4" refType="w" fact="0.5575"/>
          <dgm:constr type="w" for="ch" forName="FiveNodes_5" refType="w" fact="0.77"/>
          <dgm:constr type="h" for="ch" forName="FiveNodes_5" refType="h" fact="0.18"/>
          <dgm:constr type="b" for="ch" forName="FiveNodes_5" refType="h"/>
          <dgm:constr type="r" for="ch" forName="FiveNodes_5" refType="w"/>
          <dgm:constr type="w" for="ch" forName="FiveConn_1-2" refType="h" refFor="ch" refForName="FiveNodes_1" fact="0.65"/>
          <dgm:constr type="h" for="ch" forName="FiveConn_1-2" refType="h" refFor="ch" refForName="FiveNodes_1" fact="0.65"/>
          <dgm:constr type="ctrY" for="ch" forName="FiveConn_1-2" refType="h" fact="0.19"/>
          <dgm:constr type="r" for="ch" forName="FiveConn_1-2" refType="r" refFor="ch" refForName="FiveNodes_1"/>
          <dgm:constr type="w" for="ch" forName="FiveConn_2-3" refType="h" refFor="ch" refForName="FiveNodes_2" fact="0.65"/>
          <dgm:constr type="h" for="ch" forName="FiveConn_2-3" refType="h" refFor="ch" refForName="FiveNodes_2" fact="0.65"/>
          <dgm:constr type="ctrY" for="ch" forName="FiveConn_2-3" refType="h" fact="0.395"/>
          <dgm:constr type="r" for="ch" forName="FiveConn_2-3" refType="r" refFor="ch" refForName="FiveNodes_2"/>
          <dgm:constr type="w" for="ch" forName="FiveConn_3-4" refType="h" refFor="ch" refForName="FiveNodes_3" fact="0.65"/>
          <dgm:constr type="h" for="ch" forName="FiveConn_3-4" refType="h" refFor="ch" refForName="FiveNodes_3" fact="0.65"/>
          <dgm:constr type="ctrY" for="ch" forName="FiveConn_3-4" refType="h" fact="0.597"/>
          <dgm:constr type="r" for="ch" forName="FiveConn_3-4" refType="r" refFor="ch" refForName="FiveNodes_3"/>
          <dgm:constr type="w" for="ch" forName="FiveConn_4-5" refType="h" refFor="ch" refForName="FiveNodes_4" fact="0.65"/>
          <dgm:constr type="h" for="ch" forName="FiveConn_4-5" refType="h" refFor="ch" refForName="FiveNodes_4" fact="0.65"/>
          <dgm:constr type="ctrY" for="ch" forName="FiveConn_4-5" refType="h" fact="0.804"/>
          <dgm:constr type="r" for="ch" forName="FiveConn_4-5" refType="r" refFor="ch" refForName="FiveNodes_4"/>
          <dgm:constr type="r" for="ch" forName="FiveNodes_1_text" refType="l" refFor="ch" refForName="FiveConn_1-2"/>
          <dgm:constr type="rOff" for="ch" forName="FiveNodes_1_text" refType="w" refFor="ch" refForName="FiveConn_1-2" fact="-0.75"/>
          <dgm:constr type="t" for="ch" forName="FiveNodes_1_text" refType="t" refFor="ch" refForName="FiveNodes_1"/>
          <dgm:constr type="b" for="ch" forName="FiveNodes_1_text" refType="b" refFor="ch" refForName="FiveNodes_1"/>
          <dgm:constr type="l" for="ch" forName="FiveNodes_1_text" refType="l" refFor="ch" refForName="FiveNodes_1"/>
          <dgm:constr type="r" for="ch" forName="FiveNodes_2_text" refType="l" refFor="ch" refForName="FiveConn_1-2"/>
          <dgm:constr type="t" for="ch" forName="FiveNodes_2_text" refType="t" refFor="ch" refForName="FiveNodes_2"/>
          <dgm:constr type="b" for="ch" forName="FiveNodes_2_text" refType="b" refFor="ch" refForName="FiveNodes_2"/>
          <dgm:constr type="l" for="ch" forName="FiveNodes_2_text" refType="l" refFor="ch" refForName="FiveNodes_2"/>
          <dgm:constr type="r" for="ch" forName="FiveNodes_3_text" refType="l" refFor="ch" refForName="FiveConn_2-3"/>
          <dgm:constr type="t" for="ch" forName="FiveNodes_3_text" refType="t" refFor="ch" refForName="FiveNodes_3"/>
          <dgm:constr type="b" for="ch" forName="FiveNodes_3_text" refType="b" refFor="ch" refForName="FiveNodes_3"/>
          <dgm:constr type="l" for="ch" forName="FiveNodes_3_text" refType="l" refFor="ch" refForName="FiveNodes_3"/>
          <dgm:constr type="r" for="ch" forName="FiveNodes_4_text" refType="l" refFor="ch" refForName="FiveConn_3-4"/>
          <dgm:constr type="t" for="ch" forName="FiveNodes_4_text" refType="t" refFor="ch" refForName="FiveNodes_4"/>
          <dgm:constr type="b" for="ch" forName="FiveNodes_4_text" refType="b" refFor="ch" refForName="FiveNodes_4"/>
          <dgm:constr type="l" for="ch" forName="FiveNodes_4_text" refType="l" refFor="ch" refForName="FiveNodes_4"/>
          <dgm:constr type="r" for="ch" forName="FiveNodes_5_text" refType="l" refFor="ch" refForName="FiveConn_4-5"/>
          <dgm:constr type="t" for="ch" forName="FiveNodes_5_text" refType="t" refFor="ch" refForName="FiveNodes_5"/>
          <dgm:constr type="b" for="ch" forName="FiveNodes_5_text" refType="b" refFor="ch" refForName="FiveNodes_5"/>
          <dgm:constr type="l" for="ch" forName="FiveNodes_5_text" refType="l" refFor="ch" refForName="FiveNodes_5"/>
        </dgm:constrLst>
      </dgm:if>
      <dgm:else name="Name2">
        <dgm:constrLst>
          <dgm:constr type="primFontSz" for="ch" ptType="node" op="equ" val="65"/>
          <dgm:constr type="w" for="ch" forName="dummyMaxCanvas" refType="w"/>
          <dgm:constr type="h" for="ch" forName="dummyMaxCanvas" refType="h"/>
          <dgm:constr type="w" for="ch" forName="OneNode_1" refType="w"/>
          <dgm:constr type="h" for="ch" forName="OneNode_1" refType="h" fact="0.5"/>
          <dgm:constr type="ctrY" for="ch" forName="OneNode_1" refType="h" fact="0.5"/>
          <dgm:constr type="w" for="ch" forName="TwoNodes_1" refType="w" fact="0.85"/>
          <dgm:constr type="h" for="ch" forName="TwoNodes_1" refType="h" fact="0.45"/>
          <dgm:constr type="t" for="ch" forName="TwoNodes_1"/>
          <dgm:constr type="r" for="ch" forName="TwoNodes_1" refType="w"/>
          <dgm:constr type="w" for="ch" forName="TwoNodes_2" refType="w" fact="0.85"/>
          <dgm:constr type="h" for="ch" forName="TwoNodes_2" refType="h" fact="0.45"/>
          <dgm:constr type="b" for="ch" forName="TwoNodes_2" refType="h"/>
          <dgm:constr type="l" for="ch" forName="TwoNodes_2"/>
          <dgm:constr type="w" for="ch" forName="TwoConn_1-2" refType="h" refFor="ch" refForName="TwoNodes_1" fact="0.65"/>
          <dgm:constr type="h" for="ch" forName="TwoConn_1-2" refType="h" refFor="ch" refForName="TwoNodes_1" fact="0.65"/>
          <dgm:constr type="ctrY" for="ch" forName="TwoConn_1-2" refType="h" fact="0.5"/>
          <dgm:constr type="l" for="ch" forName="TwoConn_1-2" refType="l" refFor="ch" refForName="TwoNodes_1"/>
          <dgm:constr type="l" for="ch" forName="TwoNodes_1_text" refType="r" refFor="ch" refForName="TwoConn_1-2"/>
          <dgm:constr type="lOff" for="ch" forName="TwoNodes_1_text" refType="w" refFor="ch" refForName="TwoConn_1-2" fact="0.5"/>
          <dgm:constr type="t" for="ch" forName="TwoNodes_1_text" refType="t" refFor="ch" refForName="TwoNodes_1"/>
          <dgm:constr type="b" for="ch" forName="TwoNodes_1_text" refType="b" refFor="ch" refForName="TwoNodes_1"/>
          <dgm:constr type="r" for="ch" forName="TwoNodes_1_text" refType="r" refFor="ch" refForName="TwoNodes_1"/>
          <dgm:constr type="l" for="ch" forName="TwoNodes_2_text" refType="r" refFor="ch" refForName="TwoConn_1-2"/>
          <dgm:constr type="t" for="ch" forName="TwoNodes_2_text" refType="t" refFor="ch" refForName="TwoNodes_2"/>
          <dgm:constr type="b" for="ch" forName="TwoNodes_2_text" refType="b" refFor="ch" refForName="TwoNodes_2"/>
          <dgm:constr type="r" for="ch" forName="TwoNodes_2_text" refType="r" refFor="ch" refForName="TwoNodes_2"/>
          <dgm:constr type="w" for="ch" forName="ThreeNodes_1" refType="w" fact="0.85"/>
          <dgm:constr type="h" for="ch" forName="ThreeNodes_1" refType="h" fact="0.3"/>
          <dgm:constr type="t" for="ch" forName="ThreeNodes_1"/>
          <dgm:constr type="r" for="ch" forName="ThreeNodes_1" refType="w"/>
          <dgm:constr type="w" for="ch" forName="ThreeNodes_2" refType="w" fact="0.85"/>
          <dgm:constr type="h" for="ch" forName="ThreeNodes_2" refType="h" fact="0.3"/>
          <dgm:constr type="ctrY" for="ch" forName="ThreeNodes_2" refType="h" fact="0.5"/>
          <dgm:constr type="ctrX" for="ch" forName="ThreeNodes_2" refType="w" fact="0.5"/>
          <dgm:constr type="w" for="ch" forName="ThreeNodes_3" refType="w" fact="0.85"/>
          <dgm:constr type="h" for="ch" forName="ThreeNodes_3" refType="h" fact="0.3"/>
          <dgm:constr type="b" for="ch" forName="ThreeNodes_3" refType="h"/>
          <dgm:constr type="l" for="ch" forName="ThreeNodes_3"/>
          <dgm:constr type="w" for="ch" forName="ThreeConn_1-2" refType="h" refFor="ch" refForName="ThreeNodes_1" fact="0.65"/>
          <dgm:constr type="h" for="ch" forName="ThreeConn_1-2" refType="h" refFor="ch" refForName="ThreeNodes_1" fact="0.65"/>
          <dgm:constr type="ctrY" for="ch" forName="ThreeConn_1-2" refType="h" fact="0.325"/>
          <dgm:constr type="l" for="ch" forName="ThreeConn_1-2" refType="l" refFor="ch" refForName="ThreeNodes_1"/>
          <dgm:constr type="w" for="ch" forName="ThreeConn_2-3" refType="h" refFor="ch" refForName="ThreeNodes_2" fact="0.65"/>
          <dgm:constr type="h" for="ch" forName="ThreeConn_2-3" refType="h" refFor="ch" refForName="ThreeNodes_2" fact="0.65"/>
          <dgm:constr type="ctrY" for="ch" forName="ThreeConn_2-3" refType="h" fact="0.673"/>
          <dgm:constr type="l" for="ch" forName="ThreeConn_2-3" refType="l" refFor="ch" refForName="ThreeNodes_2"/>
          <dgm:constr type="l" for="ch" forName="ThreeNodes_1_text" refType="r" refFor="ch" refForName="ThreeConn_1-2"/>
          <dgm:constr type="lOff" for="ch" forName="ThreeNodes_1_text" refType="w" refFor="ch" refForName="ThreeConn_1-2" fact="0.55"/>
          <dgm:constr type="t" for="ch" forName="ThreeNodes_1_text" refType="t" refFor="ch" refForName="ThreeNodes_1"/>
          <dgm:constr type="b" for="ch" forName="ThreeNodes_1_text" refType="b" refFor="ch" refForName="ThreeNodes_1"/>
          <dgm:constr type="r" for="ch" forName="ThreeNodes_1_text" refType="r" refFor="ch" refForName="ThreeNodes_1"/>
          <dgm:constr type="l" for="ch" forName="ThreeNodes_2_text" refType="r" refFor="ch" refForName="ThreeConn_1-2"/>
          <dgm:constr type="t" for="ch" forName="ThreeNodes_2_text" refType="t" refFor="ch" refForName="ThreeNodes_2"/>
          <dgm:constr type="b" for="ch" forName="ThreeNodes_2_text" refType="b" refFor="ch" refForName="ThreeNodes_2"/>
          <dgm:constr type="r" for="ch" forName="ThreeNodes_2_text" refType="r" refFor="ch" refForName="ThreeNodes_2"/>
          <dgm:constr type="l" for="ch" forName="ThreeNodes_3_text" refType="r" refFor="ch" refForName="ThreeConn_2-3"/>
          <dgm:constr type="t" for="ch" forName="ThreeNodes_3_text" refType="t" refFor="ch" refForName="ThreeNodes_3"/>
          <dgm:constr type="b" for="ch" forName="ThreeNodes_3_text" refType="b" refFor="ch" refForName="ThreeNodes_3"/>
          <dgm:constr type="r" for="ch" forName="ThreeNodes_3_text" refType="r" refFor="ch" refForName="ThreeNodes_3"/>
          <dgm:constr type="w" for="ch" forName="FourNodes_1" refType="w" fact="0.8"/>
          <dgm:constr type="h" for="ch" forName="FourNodes_1" refType="h" fact="0.22"/>
          <dgm:constr type="t" for="ch" forName="FourNodes_1"/>
          <dgm:constr type="r" for="ch" forName="FourNodes_1" refType="w"/>
          <dgm:constr type="w" for="ch" forName="FourNodes_2" refType="w" fact="0.8"/>
          <dgm:constr type="h" for="ch" forName="FourNodes_2" refType="h" fact="0.22"/>
          <dgm:constr type="ctrY" for="ch" forName="FourNodes_2" refType="h" fact="0.37"/>
          <dgm:constr type="ctrX" for="ch" forName="FourNodes_2" refType="w" fact="0.533"/>
          <dgm:constr type="w" for="ch" forName="FourNodes_3" refType="w" fact="0.8"/>
          <dgm:constr type="h" for="ch" forName="FourNodes_3" refType="h" fact="0.22"/>
          <dgm:constr type="ctrY" for="ch" forName="FourNodes_3" refType="h" fact="0.63"/>
          <dgm:constr type="ctrX" for="ch" forName="FourNodes_3" refType="w" fact="0.467"/>
          <dgm:constr type="w" for="ch" forName="FourNodes_4" refType="w" fact="0.8"/>
          <dgm:constr type="h" for="ch" forName="FourNodes_4" refType="h" fact="0.22"/>
          <dgm:constr type="b" for="ch" forName="FourNodes_4" refType="h"/>
          <dgm:constr type="l" for="ch" forName="FourNodes_4"/>
          <dgm:constr type="w" for="ch" forName="FourConn_1-2" refType="h" refFor="ch" refForName="FourNodes_1" fact="0.65"/>
          <dgm:constr type="h" for="ch" forName="FourConn_1-2" refType="h" refFor="ch" refForName="FourNodes_1" fact="0.65"/>
          <dgm:constr type="ctrY" for="ch" forName="FourConn_1-2" refType="h" fact="0.24"/>
          <dgm:constr type="l" for="ch" forName="FourConn_1-2" refType="l" refFor="ch" refForName="FourNodes_1"/>
          <dgm:constr type="w" for="ch" forName="FourConn_2-3" refType="h" refFor="ch" refForName="FourNodes_2" fact="0.65"/>
          <dgm:constr type="h" for="ch" forName="FourConn_2-3" refType="h" refFor="ch" refForName="FourNodes_2" fact="0.65"/>
          <dgm:constr type="ctrY" for="ch" forName="FourConn_2-3" refType="h" fact="0.5"/>
          <dgm:constr type="l" for="ch" forName="FourConn_2-3" refType="l" refFor="ch" refForName="FourNodes_2"/>
          <dgm:constr type="w" for="ch" forName="FourConn_3-4" refType="h" refFor="ch" refForName="FourNodes_3" fact="0.65"/>
          <dgm:constr type="h" for="ch" forName="FourConn_3-4" refType="h" refFor="ch" refForName="FourNodes_3" fact="0.65"/>
          <dgm:constr type="ctrY" for="ch" forName="FourConn_3-4" refType="h" fact="0.76"/>
          <dgm:constr type="l" for="ch" forName="FourConn_3-4" refType="l" refFor="ch" refForName="FourNodes_3"/>
          <dgm:constr type="l" for="ch" forName="FourNodes_1_text" refType="r" refFor="ch" refForName="FourConn_1-2"/>
          <dgm:constr type="lOff" for="ch" forName="FourNodes_1_text" refType="w" refFor="ch" refForName="FourConn_1-2" fact="0.69"/>
          <dgm:constr type="t" for="ch" forName="FourNodes_1_text" refType="t" refFor="ch" refForName="FourNodes_1"/>
          <dgm:constr type="b" for="ch" forName="FourNodes_1_text" refType="b" refFor="ch" refForName="FourNodes_1"/>
          <dgm:constr type="r" for="ch" forName="FourNodes_1_text" refType="r" refFor="ch" refForName="FourNodes_1"/>
          <dgm:constr type="l" for="ch" forName="FourNodes_2_text" refType="r" refFor="ch" refForName="FourConn_1-2"/>
          <dgm:constr type="t" for="ch" forName="FourNodes_2_text" refType="t" refFor="ch" refForName="FourNodes_2"/>
          <dgm:constr type="b" for="ch" forName="FourNodes_2_text" refType="b" refFor="ch" refForName="FourNodes_2"/>
          <dgm:constr type="r" for="ch" forName="FourNodes_2_text" refType="r" refFor="ch" refForName="FourNodes_2"/>
          <dgm:constr type="l" for="ch" forName="FourNodes_3_text" refType="r" refFor="ch" refForName="FourConn_2-3"/>
          <dgm:constr type="t" for="ch" forName="FourNodes_3_text" refType="t" refFor="ch" refForName="FourNodes_3"/>
          <dgm:constr type="b" for="ch" forName="FourNodes_3_text" refType="b" refFor="ch" refForName="FourNodes_3"/>
          <dgm:constr type="r" for="ch" forName="FourNodes_3_text" refType="r" refFor="ch" refForName="FourNodes_3"/>
          <dgm:constr type="l" for="ch" forName="FourNodes_4_text" refType="r" refFor="ch" refForName="FourConn_3-4"/>
          <dgm:constr type="t" for="ch" forName="FourNodes_4_text" refType="t" refFor="ch" refForName="FourNodes_4"/>
          <dgm:constr type="b" for="ch" forName="FourNodes_4_text" refType="b" refFor="ch" refForName="FourNodes_4"/>
          <dgm:constr type="r" for="ch" forName="FourNodes_4_text" refType="r" refFor="ch" refForName="FourNodes_4"/>
          <dgm:constr type="w" for="ch" forName="FiveNodes_1" refType="w" fact="0.77"/>
          <dgm:constr type="h" for="ch" forName="FiveNodes_1" refType="h" fact="0.18"/>
          <dgm:constr type="t" for="ch" forName="FiveNodes_1"/>
          <dgm:constr type="r" for="ch" forName="FiveNodes_1" refType="w"/>
          <dgm:constr type="w" for="ch" forName="FiveNodes_2" refType="w" fact="0.77"/>
          <dgm:constr type="h" for="ch" forName="FiveNodes_2" refType="h" fact="0.18"/>
          <dgm:constr type="ctrY" for="ch" forName="FiveNodes_2" refType="h" fact="0.295"/>
          <dgm:constr type="ctrX" for="ch" forName="FiveNodes_2" refType="w" fact="0.5575"/>
          <dgm:constr type="w" for="ch" forName="FiveNodes_3" refType="w" fact="0.77"/>
          <dgm:constr type="h" for="ch" forName="FiveNodes_3" refType="h" fact="0.18"/>
          <dgm:constr type="ctrY" for="ch" forName="FiveNodes_3" refType="h" fact="0.5"/>
          <dgm:constr type="ctrX" for="ch" forName="FiveNodes_3" refType="w" fact="0.5"/>
          <dgm:constr type="w" for="ch" forName="FiveNodes_4" refType="w" fact="0.77"/>
          <dgm:constr type="h" for="ch" forName="FiveNodes_4" refType="h" fact="0.18"/>
          <dgm:constr type="ctrY" for="ch" forName="FiveNodes_4" refType="h" fact="0.705"/>
          <dgm:constr type="ctrX" for="ch" forName="FiveNodes_4" refType="w" fact="0.4425"/>
          <dgm:constr type="w" for="ch" forName="FiveNodes_5" refType="w" fact="0.77"/>
          <dgm:constr type="h" for="ch" forName="FiveNodes_5" refType="h" fact="0.18"/>
          <dgm:constr type="b" for="ch" forName="FiveNodes_5" refType="h"/>
          <dgm:constr type="l" for="ch" forName="FiveNodes_5"/>
          <dgm:constr type="w" for="ch" forName="FiveConn_1-2" refType="h" refFor="ch" refForName="FiveNodes_1" fact="0.65"/>
          <dgm:constr type="h" for="ch" forName="FiveConn_1-2" refType="h" refFor="ch" refForName="FiveNodes_1" fact="0.65"/>
          <dgm:constr type="ctrY" for="ch" forName="FiveConn_1-2" refType="h" fact="0.19"/>
          <dgm:constr type="l" for="ch" forName="FiveConn_1-2" refType="l" refFor="ch" refForName="FiveNodes_1"/>
          <dgm:constr type="w" for="ch" forName="FiveConn_2-3" refType="h" refFor="ch" refForName="FiveNodes_2" fact="0.65"/>
          <dgm:constr type="h" for="ch" forName="FiveConn_2-3" refType="h" refFor="ch" refForName="FiveNodes_2" fact="0.65"/>
          <dgm:constr type="ctrY" for="ch" forName="FiveConn_2-3" refType="h" fact="0.395"/>
          <dgm:constr type="l" for="ch" forName="FiveConn_2-3" refType="l" refFor="ch" refForName="FiveNodes_2"/>
          <dgm:constr type="w" for="ch" forName="FiveConn_3-4" refType="h" refFor="ch" refForName="FiveNodes_3" fact="0.65"/>
          <dgm:constr type="h" for="ch" forName="FiveConn_3-4" refType="h" refFor="ch" refForName="FiveNodes_3" fact="0.65"/>
          <dgm:constr type="ctrY" for="ch" forName="FiveConn_3-4" refType="h" fact="0.597"/>
          <dgm:constr type="l" for="ch" forName="FiveConn_3-4" refType="l" refFor="ch" refForName="FiveNodes_3"/>
          <dgm:constr type="w" for="ch" forName="FiveConn_4-5" refType="h" refFor="ch" refForName="FiveNodes_4" fact="0.65"/>
          <dgm:constr type="h" for="ch" forName="FiveConn_4-5" refType="h" refFor="ch" refForName="FiveNodes_4" fact="0.65"/>
          <dgm:constr type="ctrY" for="ch" forName="FiveConn_4-5" refType="h" fact="0.804"/>
          <dgm:constr type="l" for="ch" forName="FiveConn_4-5" refType="l" refFor="ch" refForName="FiveNodes_4"/>
          <dgm:constr type="l" for="ch" forName="FiveNodes_1_text" refType="r" refFor="ch" refForName="FiveConn_1-2"/>
          <dgm:constr type="lOff" for="ch" forName="FiveNodes_1_text" refType="w" refFor="ch" refForName="FiveConn_1-2" fact="0.73"/>
          <dgm:constr type="t" for="ch" forName="FiveNodes_1_text" refType="t" refFor="ch" refForName="FiveNodes_1"/>
          <dgm:constr type="b" for="ch" forName="FiveNodes_1_text" refType="b" refFor="ch" refForName="FiveNodes_1"/>
          <dgm:constr type="r" for="ch" forName="FiveNodes_1_text" refType="r" refFor="ch" refForName="FiveNodes_1"/>
          <dgm:constr type="l" for="ch" forName="FiveNodes_2_text" refType="r" refFor="ch" refForName="FiveConn_1-2"/>
          <dgm:constr type="t" for="ch" forName="FiveNodes_2_text" refType="t" refFor="ch" refForName="FiveNodes_2"/>
          <dgm:constr type="b" for="ch" forName="FiveNodes_2_text" refType="b" refFor="ch" refForName="FiveNodes_2"/>
          <dgm:constr type="r" for="ch" forName="FiveNodes_2_text" refType="r" refFor="ch" refForName="FiveNodes_2"/>
          <dgm:constr type="l" for="ch" forName="FiveNodes_3_text" refType="r" refFor="ch" refForName="FiveConn_2-3"/>
          <dgm:constr type="t" for="ch" forName="FiveNodes_3_text" refType="t" refFor="ch" refForName="FiveNodes_3"/>
          <dgm:constr type="b" for="ch" forName="FiveNodes_3_text" refType="b" refFor="ch" refForName="FiveNodes_3"/>
          <dgm:constr type="r" for="ch" forName="FiveNodes_3_text" refType="r" refFor="ch" refForName="FiveNodes_3"/>
          <dgm:constr type="l" for="ch" forName="FiveNodes_4_text" refType="r" refFor="ch" refForName="FiveConn_3-4"/>
          <dgm:constr type="t" for="ch" forName="FiveNodes_4_text" refType="t" refFor="ch" refForName="FiveNodes_4"/>
          <dgm:constr type="b" for="ch" forName="FiveNodes_4_text" refType="b" refFor="ch" refForName="FiveNodes_4"/>
          <dgm:constr type="r" for="ch" forName="FiveNodes_4_text" refType="r" refFor="ch" refForName="FiveNodes_4"/>
          <dgm:constr type="l" for="ch" forName="FiveNodes_5_text" refType="r" refFor="ch" refForName="FiveConn_4-5"/>
          <dgm:constr type="t" for="ch" forName="FiveNodes_5_text" refType="t" refFor="ch" refForName="FiveNodes_5"/>
          <dgm:constr type="b" for="ch" forName="FiveNodes_5_text" refType="b" refFor="ch" refForName="FiveNodes_5"/>
          <dgm:constr type="r" for="ch" forName="FiveNodes_5_text" refType="r" refFor="ch" refForName="FiveNodes_5"/>
        </dgm:constrLst>
      </dgm:else>
    </dgm:choose>
    <dgm:ruleLst/>
    <dgm:layoutNode name="dummyMaxCanvas">
      <dgm:varLst/>
      <dgm:alg type="sp"/>
      <dgm:shape xmlns:r="http://schemas.openxmlformats.org/officeDocument/2006/relationships" r:blip="">
        <dgm:adjLst/>
      </dgm:shape>
      <dgm:presOf/>
      <dgm:constrLst/>
      <dgm:ruleLst/>
    </dgm:layoutNode>
    <dgm:choose name="Name3">
      <dgm:if name="Name4" axis="ch" ptType="node" func="cnt" op="equ" val="1">
        <dgm:layoutNode name="OneNode_1">
          <dgm:varLst>
            <dgm:bulletEnabled val="1"/>
          </dgm:varLst>
          <dgm:alg type="tx"/>
          <dgm:shape xmlns:r="http://schemas.openxmlformats.org/officeDocument/2006/relationships" type="roundRect" r:blip="">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5">
        <dgm:choose name="Name6">
          <dgm:if name="Name7" axis="ch" ptType="node" func="cnt" op="equ" val="2">
            <dgm:layoutNode name="Two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Two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Two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Two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Two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8">
            <dgm:choose name="Name9">
              <dgm:if name="Name10" axis="ch" ptType="node" func="cnt" op="equ" val="3">
                <dgm:layoutNode name="Three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Three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ThreeNodes_3">
                  <dgm:varLst>
                    <dgm:bulletEnabled val="1"/>
                  </dgm:varLst>
                  <dgm:alg type="sp"/>
                  <dgm:shape xmlns:r="http://schemas.openxmlformats.org/officeDocument/2006/relationships" type="roundRect" r:blip="">
                    <dgm:adjLst>
                      <dgm:adj idx="1" val="0.1"/>
                    </dgm:adjLst>
                  </dgm:shape>
                  <dgm:presOf axis="ch desOrSelf" ptType="node node" st="3 1" cnt="1 0"/>
                  <dgm:constrLst/>
                  <dgm:ruleLst/>
                </dgm:layoutNode>
                <dgm:layoutNode name="Three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ThreeConn_2-3" styleLbl="fgAccFollowNode1">
                  <dgm:varLst>
                    <dgm:bulletEnabled val="1"/>
                  </dgm:varLst>
                  <dgm:alg type="tx"/>
                  <dgm:shape xmlns:r="http://schemas.openxmlformats.org/officeDocument/2006/relationships" type="downArrow" r:blip="">
                    <dgm:adjLst>
                      <dgm:adj idx="1" val="0.55"/>
                      <dgm:adj idx="2" val="0.45"/>
                    </dgm:adjLst>
                  </dgm:shape>
                  <dgm:presOf axis="ch" ptType="sibTrans" st="2"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Three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Three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ThreeNodes_3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3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1">
                <dgm:choose name="Name12">
                  <dgm:if name="Name13" axis="ch" ptType="node" func="cnt" op="equ" val="4">
                    <dgm:layoutNode name="Four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Four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FourNodes_3">
                      <dgm:varLst>
                        <dgm:bulletEnabled val="1"/>
                      </dgm:varLst>
                      <dgm:alg type="sp"/>
                      <dgm:shape xmlns:r="http://schemas.openxmlformats.org/officeDocument/2006/relationships" type="roundRect" r:blip="">
                        <dgm:adjLst>
                          <dgm:adj idx="1" val="0.1"/>
                        </dgm:adjLst>
                      </dgm:shape>
                      <dgm:presOf axis="ch desOrSelf" ptType="node node" st="3 1" cnt="1 0"/>
                      <dgm:constrLst/>
                      <dgm:ruleLst/>
                    </dgm:layoutNode>
                    <dgm:layoutNode name="FourNodes_4">
                      <dgm:varLst>
                        <dgm:bulletEnabled val="1"/>
                      </dgm:varLst>
                      <dgm:alg type="sp"/>
                      <dgm:shape xmlns:r="http://schemas.openxmlformats.org/officeDocument/2006/relationships" type="roundRect" r:blip="">
                        <dgm:adjLst>
                          <dgm:adj idx="1" val="0.1"/>
                        </dgm:adjLst>
                      </dgm:shape>
                      <dgm:presOf axis="ch desOrSelf" ptType="node node" st="4 1" cnt="1 0"/>
                      <dgm:constrLst/>
                      <dgm:ruleLst/>
                    </dgm:layoutNode>
                    <dgm:layoutNode name="Four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ourConn_2-3" styleLbl="fgAccFollowNode1">
                      <dgm:varLst>
                        <dgm:bulletEnabled val="1"/>
                      </dgm:varLst>
                      <dgm:alg type="tx"/>
                      <dgm:shape xmlns:r="http://schemas.openxmlformats.org/officeDocument/2006/relationships" type="downArrow" r:blip="">
                        <dgm:adjLst>
                          <dgm:adj idx="1" val="0.55"/>
                          <dgm:adj idx="2" val="0.45"/>
                        </dgm:adjLst>
                      </dgm:shape>
                      <dgm:presOf axis="ch" ptType="sibTrans" st="2"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ourConn_3-4" styleLbl="fgAccFollowNode1">
                      <dgm:varLst>
                        <dgm:bulletEnabled val="1"/>
                      </dgm:varLst>
                      <dgm:alg type="tx"/>
                      <dgm:shape xmlns:r="http://schemas.openxmlformats.org/officeDocument/2006/relationships" type="downArrow" r:blip="">
                        <dgm:adjLst>
                          <dgm:adj idx="1" val="0.55"/>
                          <dgm:adj idx="2" val="0.45"/>
                        </dgm:adjLst>
                      </dgm:shape>
                      <dgm:presOf axis="ch" ptType="sibTrans" st="3"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our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our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ourNodes_3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3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ourNodes_4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4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4">
                    <dgm:choose name="Name15">
                      <dgm:if name="Name16" axis="ch" ptType="node" func="cnt" op="gte" val="5">
                        <dgm:layoutNode name="Five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Five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FiveNodes_3">
                          <dgm:varLst>
                            <dgm:bulletEnabled val="1"/>
                          </dgm:varLst>
                          <dgm:alg type="sp"/>
                          <dgm:shape xmlns:r="http://schemas.openxmlformats.org/officeDocument/2006/relationships" type="roundRect" r:blip="">
                            <dgm:adjLst>
                              <dgm:adj idx="1" val="0.1"/>
                            </dgm:adjLst>
                          </dgm:shape>
                          <dgm:presOf axis="ch desOrSelf" ptType="node node" st="3 1" cnt="1 0"/>
                          <dgm:constrLst/>
                          <dgm:ruleLst/>
                        </dgm:layoutNode>
                        <dgm:layoutNode name="FiveNodes_4">
                          <dgm:varLst>
                            <dgm:bulletEnabled val="1"/>
                          </dgm:varLst>
                          <dgm:alg type="sp"/>
                          <dgm:shape xmlns:r="http://schemas.openxmlformats.org/officeDocument/2006/relationships" type="roundRect" r:blip="">
                            <dgm:adjLst>
                              <dgm:adj idx="1" val="0.1"/>
                            </dgm:adjLst>
                          </dgm:shape>
                          <dgm:presOf axis="ch desOrSelf" ptType="node node" st="4 1" cnt="1 0"/>
                          <dgm:constrLst/>
                          <dgm:ruleLst/>
                        </dgm:layoutNode>
                        <dgm:layoutNode name="FiveNodes_5">
                          <dgm:varLst>
                            <dgm:bulletEnabled val="1"/>
                          </dgm:varLst>
                          <dgm:alg type="sp"/>
                          <dgm:shape xmlns:r="http://schemas.openxmlformats.org/officeDocument/2006/relationships" type="roundRect" r:blip="">
                            <dgm:adjLst>
                              <dgm:adj idx="1" val="0.1"/>
                            </dgm:adjLst>
                          </dgm:shape>
                          <dgm:presOf axis="ch desOrSelf" ptType="node node" st="5 1" cnt="1 0"/>
                          <dgm:constrLst/>
                          <dgm:ruleLst/>
                        </dgm:layoutNode>
                        <dgm:layoutNode name="Five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Conn_2-3" styleLbl="fgAccFollowNode1">
                          <dgm:varLst>
                            <dgm:bulletEnabled val="1"/>
                          </dgm:varLst>
                          <dgm:alg type="tx"/>
                          <dgm:shape xmlns:r="http://schemas.openxmlformats.org/officeDocument/2006/relationships" type="downArrow" r:blip="">
                            <dgm:adjLst>
                              <dgm:adj idx="1" val="0.55"/>
                              <dgm:adj idx="2" val="0.45"/>
                            </dgm:adjLst>
                          </dgm:shape>
                          <dgm:presOf axis="ch" ptType="sibTrans" st="2"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Conn_3-4" styleLbl="fgAccFollowNode1">
                          <dgm:varLst>
                            <dgm:bulletEnabled val="1"/>
                          </dgm:varLst>
                          <dgm:alg type="tx"/>
                          <dgm:shape xmlns:r="http://schemas.openxmlformats.org/officeDocument/2006/relationships" type="downArrow" r:blip="">
                            <dgm:adjLst>
                              <dgm:adj idx="1" val="0.55"/>
                              <dgm:adj idx="2" val="0.45"/>
                            </dgm:adjLst>
                          </dgm:shape>
                          <dgm:presOf axis="ch" ptType="sibTrans" st="3"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Conn_4-5" styleLbl="fgAccFollowNode1">
                          <dgm:varLst>
                            <dgm:bulletEnabled val="1"/>
                          </dgm:varLst>
                          <dgm:alg type="tx"/>
                          <dgm:shape xmlns:r="http://schemas.openxmlformats.org/officeDocument/2006/relationships" type="downArrow" r:blip="">
                            <dgm:adjLst>
                              <dgm:adj idx="1" val="0.55"/>
                              <dgm:adj idx="2" val="0.45"/>
                            </dgm:adjLst>
                          </dgm:shape>
                          <dgm:presOf axis="ch" ptType="sibTrans" st="4"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3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3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4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4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5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5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7"/>
                    </dgm:choose>
                  </dgm:else>
                </dgm:choose>
              </dgm:else>
            </dgm:choose>
          </dgm:else>
        </dgm:choose>
      </dgm:else>
    </dgm:choose>
  </dgm:layoutNode>
</dgm:layoutDef>
</file>

<file path=word/diagrams/layout5.xml><?xml version="1.0" encoding="utf-8"?>
<dgm:layoutDef xmlns:dgm="http://schemas.openxmlformats.org/drawingml/2006/diagram" xmlns:a="http://schemas.openxmlformats.org/drawingml/2006/main" uniqueId="urn:microsoft.com/office/officeart/2005/8/layout/hProcess4">
  <dgm:title val=""/>
  <dgm:desc val=""/>
  <dgm:catLst>
    <dgm:cat type="process" pri="4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composite"/>
    <dgm:shape xmlns:r="http://schemas.openxmlformats.org/officeDocument/2006/relationships" r:blip="">
      <dgm:adjLst/>
    </dgm:shape>
    <dgm:presOf/>
    <dgm:constrLst>
      <dgm:constr type="w" for="ch" forName="tSp" refType="w"/>
      <dgm:constr type="h" for="ch" forName="tSp" refType="h" fact="0.15"/>
      <dgm:constr type="l" for="ch" forName="tSp"/>
      <dgm:constr type="t" for="ch" forName="tSp"/>
      <dgm:constr type="w" for="ch" forName="bSp" refType="w"/>
      <dgm:constr type="h" for="ch" forName="bSp" refType="h" fact="0.15"/>
      <dgm:constr type="l" for="ch" forName="bSp"/>
      <dgm:constr type="t" for="ch" forName="bSp" refType="h" fact="0.85"/>
      <dgm:constr type="w" for="ch" forName="process" refType="w"/>
      <dgm:constr type="h" for="ch" forName="process" refType="h" fact="0.7"/>
      <dgm:constr type="l" for="ch" forName="process"/>
      <dgm:constr type="t" for="ch" forName="process" refType="h" fact="0.15"/>
    </dgm:constrLst>
    <dgm:ruleLst/>
    <dgm:layoutNode name="tSp">
      <dgm:alg type="sp"/>
      <dgm:shape xmlns:r="http://schemas.openxmlformats.org/officeDocument/2006/relationships" r:blip="">
        <dgm:adjLst/>
      </dgm:shape>
      <dgm:presOf/>
      <dgm:constrLst/>
      <dgm:ruleLst/>
    </dgm:layoutNode>
    <dgm:layoutNode name="bSp">
      <dgm:alg type="sp"/>
      <dgm:shape xmlns:r="http://schemas.openxmlformats.org/officeDocument/2006/relationships" r:blip="">
        <dgm:adjLst/>
      </dgm:shape>
      <dgm:presOf/>
      <dgm:constrLst/>
      <dgm:ruleLst/>
    </dgm:layoutNode>
    <dgm:layoutNode name="process">
      <dgm:choose name="Name1">
        <dgm:if name="Name2" func="var" arg="dir" op="equ" val="norm">
          <dgm:alg type="lin">
            <dgm:param type="linDir" val="fromL"/>
          </dgm:alg>
        </dgm:if>
        <dgm:else name="Name3">
          <dgm:alg type="lin">
            <dgm:param type="linDir" val="fromR"/>
          </dgm:alg>
        </dgm:else>
      </dgm:choose>
      <dgm:shape xmlns:r="http://schemas.openxmlformats.org/officeDocument/2006/relationships" r:blip="">
        <dgm:adjLst/>
      </dgm:shape>
      <dgm:presOf/>
      <dgm:constrLst>
        <dgm:constr type="w" for="ch" forName="composite1" refType="w"/>
        <dgm:constr type="w" for="ch" forName="composite2" refType="w" refFor="ch" refForName="composite1" op="equ"/>
        <dgm:constr type="h" for="ch" forName="composite1" refType="h"/>
        <dgm:constr type="h" for="ch" forName="composite2" refType="h" refFor="ch" refForName="composite1" op="equ"/>
        <dgm:constr type="primFontSz" for="des" forName="parentNode1" val="65"/>
        <dgm:constr type="primFontSz" for="des" forName="parentNode2" refType="primFontSz" refFor="des" refForName="parentNode1" op="equ"/>
        <dgm:constr type="secFontSz" for="des" forName="childNode1tx" val="65"/>
        <dgm:constr type="secFontSz" for="des" forName="childNode2tx" refType="secFontSz" refFor="des" refForName="childNode1tx" op="equ"/>
        <dgm:constr type="w" for="des" ptType="sibTrans" refType="w" refFor="ch" refForName="composite1" op="equ" fact="0.05"/>
      </dgm:constrLst>
      <dgm:ruleLst/>
      <dgm:forEach name="Name4" axis="ch" ptType="node" step="2">
        <dgm:layoutNode name="composite1">
          <dgm:alg type="composite">
            <dgm:param type="ar" val="0.943"/>
          </dgm:alg>
          <dgm:shape xmlns:r="http://schemas.openxmlformats.org/officeDocument/2006/relationships" r:blip="">
            <dgm:adjLst/>
          </dgm:shape>
          <dgm:presOf/>
          <dgm:choose name="Name5">
            <dgm:if name="Name6" func="var" arg="dir" op="equ" val="norm">
              <dgm:constrLst>
                <dgm:constr type="h" refType="w" fact="1.06"/>
                <dgm:constr type="w" for="ch" forName="dummyNode1" refType="w"/>
                <dgm:constr type="h" for="ch" forName="dummyNode1" refType="h"/>
                <dgm:constr type="t" for="ch" forName="dummyNode1"/>
                <dgm:constr type="l" for="ch" forName="dummyNode1"/>
                <dgm:constr type="w" for="ch" forName="childNode1" refType="w" fact="0.9"/>
                <dgm:constr type="h" for="ch" forName="childNode1" refType="h" fact="0.7"/>
                <dgm:constr type="t" for="ch" forName="childNode1" refType="h" fact="0.15"/>
                <dgm:constr type="l" for="ch" forName="childNode1"/>
                <dgm:constr type="w" for="ch" forName="childNode1tx" refType="w" fact="0.9"/>
                <dgm:constr type="h" for="ch" forName="childNode1tx" refType="h" fact="0.55"/>
                <dgm:constr type="t" for="ch" forName="childNode1tx" refType="h" fact="0.15"/>
                <dgm:constr type="l" for="ch" forName="childNode1tx"/>
                <dgm:constr type="w" for="ch" forName="parentNode1" refType="w" fact="0.8"/>
                <dgm:constr type="h" for="ch" forName="parentNode1" refType="h" fact="0.3"/>
                <dgm:constr type="t" for="ch" forName="parentNode1" refType="h" fact="0.7"/>
                <dgm:constr type="l" for="ch" forName="parentNode1" refType="w" fact="0.2"/>
                <dgm:constr type="w" for="ch" forName="connSite1" refType="w" fact="0.01"/>
                <dgm:constr type="h" for="ch" forName="connSite1" refType="h" fact="0.01"/>
                <dgm:constr type="t" for="ch" forName="connSite1"/>
                <dgm:constr type="l" for="ch" forName="connSite1" refType="w" fact="0.35"/>
              </dgm:constrLst>
            </dgm:if>
            <dgm:else name="Name7">
              <dgm:constrLst>
                <dgm:constr type="h" refType="w" fact="1.06"/>
                <dgm:constr type="w" for="ch" forName="dummyNode1" refType="w"/>
                <dgm:constr type="h" for="ch" forName="dummyNode1" refType="h"/>
                <dgm:constr type="t" for="ch" forName="dummyNode1"/>
                <dgm:constr type="l" for="ch" forName="dummyNode1"/>
                <dgm:constr type="w" for="ch" forName="childNode1" refType="w" fact="0.9"/>
                <dgm:constr type="h" for="ch" forName="childNode1" refType="h" fact="0.7"/>
                <dgm:constr type="t" for="ch" forName="childNode1" refType="h" fact="0.15"/>
                <dgm:constr type="l" for="ch" forName="childNode1" refType="w" fact="0.1"/>
                <dgm:constr type="w" for="ch" forName="childNode1tx" refType="w" fact="0.9"/>
                <dgm:constr type="h" for="ch" forName="childNode1tx" refType="h" fact="0.55"/>
                <dgm:constr type="t" for="ch" forName="childNode1tx" refType="h" fact="0.15"/>
                <dgm:constr type="l" for="ch" forName="childNode1tx" refType="w" fact="0.1"/>
                <dgm:constr type="w" for="ch" forName="parentNode1" refType="w" fact="0.8"/>
                <dgm:constr type="h" for="ch" forName="parentNode1" refType="h" fact="0.3"/>
                <dgm:constr type="t" for="ch" forName="parentNode1" refType="h" fact="0.7"/>
                <dgm:constr type="l" for="ch" forName="parentNode1"/>
                <dgm:constr type="w" for="ch" forName="connSite1" refType="w" fact="0.01"/>
                <dgm:constr type="h" for="ch" forName="connSite1" refType="h" fact="0.01"/>
                <dgm:constr type="t" for="ch" forName="connSite1"/>
                <dgm:constr type="l" for="ch" forName="connSite1" refType="w" fact="0.65"/>
              </dgm:constrLst>
            </dgm:else>
          </dgm:choose>
          <dgm:ruleLst/>
          <dgm:layoutNode name="dummyNode1">
            <dgm:alg type="sp"/>
            <dgm:shape xmlns:r="http://schemas.openxmlformats.org/officeDocument/2006/relationships" type="rect" r:blip="" hideGeom="1">
              <dgm:adjLst/>
            </dgm:shape>
            <dgm:presOf/>
            <dgm:constrLst/>
            <dgm:ruleLst/>
          </dgm:layoutNode>
          <dgm:layoutNode name="childNode1" styleLbl="bgAcc1">
            <dgm:varLst>
              <dgm:bulletEnabled val="1"/>
            </dgm:varLst>
            <dgm:alg type="sp"/>
            <dgm:shape xmlns:r="http://schemas.openxmlformats.org/officeDocument/2006/relationships" type="roundRect" r:blip="">
              <dgm:adjLst>
                <dgm:adj idx="1" val="0.1"/>
              </dgm:adjLst>
            </dgm:shape>
            <dgm:presOf axis="des" ptType="node"/>
            <dgm:constrLst/>
            <dgm:ruleLst/>
          </dgm:layoutNode>
          <dgm:layoutNode name="childNode1tx" styleLbl="bgAcc1">
            <dgm:varLst>
              <dgm:bulletEnabled val="1"/>
            </dgm:varLst>
            <dgm:alg type="tx">
              <dgm:param type="stBulletLvl" val="1"/>
            </dgm:alg>
            <dgm:shape xmlns:r="http://schemas.openxmlformats.org/officeDocument/2006/relationships" type="roundRect" r:blip="" hideGeom="1">
              <dgm:adjLst>
                <dgm:adj idx="1" val="0.1"/>
              </dgm:adjLst>
            </dgm:shape>
            <dgm:presOf axis="des" ptType="node"/>
            <dgm:constrLst>
              <dgm:constr type="secFontSz" val="65"/>
              <dgm:constr type="primFontSz" refType="secFontSz"/>
              <dgm:constr type="tMarg" refType="secFontSz" fact="0.15"/>
              <dgm:constr type="bMarg" refType="secFontSz" fact="0.15"/>
              <dgm:constr type="lMarg" refType="secFontSz" fact="0.15"/>
              <dgm:constr type="rMarg" refType="secFontSz" fact="0.15"/>
            </dgm:constrLst>
            <dgm:ruleLst>
              <dgm:rule type="secFontSz" val="5" fact="NaN" max="NaN"/>
            </dgm:ruleLst>
          </dgm:layoutNode>
          <dgm:layoutNode name="parentNode1" styleLbl="node1">
            <dgm:varLst>
              <dgm:chMax val="1"/>
              <dgm:bulletEnabled val="1"/>
            </dgm:varLst>
            <dgm:alg type="tx"/>
            <dgm:shape xmlns:r="http://schemas.openxmlformats.org/officeDocument/2006/relationships" type="roundRect" r:blip="">
              <dgm:adjLst>
                <dgm:adj idx="1" val="0.1"/>
              </dgm:adjLst>
            </dgm:shape>
            <dgm:presOf axis="self"/>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connSite1" moveWith="childNode1">
            <dgm:alg type="sp"/>
            <dgm:shape xmlns:r="http://schemas.openxmlformats.org/officeDocument/2006/relationships" r:blip="">
              <dgm:adjLst/>
            </dgm:shape>
            <dgm:presOf/>
            <dgm:constrLst/>
            <dgm:ruleLst/>
          </dgm:layoutNode>
        </dgm:layoutNode>
        <dgm:forEach name="Name8" axis="followSib" ptType="sibTrans" cnt="1">
          <dgm:layoutNode name="Name9">
            <dgm:alg type="conn">
              <dgm:param type="connRout" val="curve"/>
              <dgm:param type="srcNode" val="parentNode1"/>
              <dgm:param type="dstNode" val="connSite2"/>
              <dgm:param type="begPts" val="bCtr"/>
              <dgm:param type="endPts" val="bCtr"/>
            </dgm:alg>
            <dgm:shape xmlns:r="http://schemas.openxmlformats.org/officeDocument/2006/relationships" type="conn" r:blip="" zOrderOff="-2">
              <dgm:adjLst/>
            </dgm:shape>
            <dgm:presOf axis="self"/>
            <dgm:choose name="Name10">
              <dgm:if name="Name11" func="var" arg="dir" op="equ" val="norm">
                <dgm:constrLst>
                  <dgm:constr type="h" refType="w" fact="0.35"/>
                  <dgm:constr type="wArH" refType="h"/>
                  <dgm:constr type="hArH" refType="h"/>
                  <dgm:constr type="connDist"/>
                  <dgm:constr type="diam" refType="connDist" fact="-1.15"/>
                  <dgm:constr type="begPad"/>
                  <dgm:constr type="endPad"/>
                </dgm:constrLst>
              </dgm:if>
              <dgm:else name="Name12">
                <dgm:constrLst>
                  <dgm:constr type="h" refType="w" fact="0.35"/>
                  <dgm:constr type="wArH" refType="h"/>
                  <dgm:constr type="hArH" refType="h"/>
                  <dgm:constr type="connDist"/>
                  <dgm:constr type="diam" refType="connDist" fact="1.15"/>
                  <dgm:constr type="begPad"/>
                  <dgm:constr type="endPad"/>
                </dgm:constrLst>
              </dgm:else>
            </dgm:choose>
            <dgm:ruleLst/>
          </dgm:layoutNode>
        </dgm:forEach>
        <dgm:forEach name="Name13" axis="followSib" ptType="node" cnt="1">
          <dgm:layoutNode name="composite2">
            <dgm:alg type="composite">
              <dgm:param type="ar" val="0.943"/>
            </dgm:alg>
            <dgm:shape xmlns:r="http://schemas.openxmlformats.org/officeDocument/2006/relationships" r:blip="">
              <dgm:adjLst/>
            </dgm:shape>
            <dgm:presOf/>
            <dgm:choose name="Name14">
              <dgm:if name="Name15" func="var" arg="dir" op="equ" val="norm">
                <dgm:constrLst>
                  <dgm:constr type="h" refType="w" fact="1.06"/>
                  <dgm:constr type="w" for="ch" forName="dummyNode2" refType="w"/>
                  <dgm:constr type="h" for="ch" forName="dummyNode2" refType="h"/>
                  <dgm:constr type="t" for="ch" forName="dummyNode2"/>
                  <dgm:constr type="l" for="ch" forName="dummyNode2"/>
                  <dgm:constr type="w" for="ch" forName="childNode2" refType="w" fact="0.9"/>
                  <dgm:constr type="h" for="ch" forName="childNode2" refType="h" fact="0.7"/>
                  <dgm:constr type="t" for="ch" forName="childNode2" refType="h" fact="0.15"/>
                  <dgm:constr type="l" for="ch" forName="childNode2"/>
                  <dgm:constr type="w" for="ch" forName="childNode2tx" refType="w" fact="0.9"/>
                  <dgm:constr type="h" for="ch" forName="childNode2tx" refType="h" fact="0.55"/>
                  <dgm:constr type="t" for="ch" forName="childNode2tx" refType="h" fact="0.3"/>
                  <dgm:constr type="l" for="ch" forName="childNode2tx"/>
                  <dgm:constr type="w" for="ch" forName="parentNode2" refType="w" fact="0.8"/>
                  <dgm:constr type="h" for="ch" forName="parentNode2" refType="h" fact="0.3"/>
                  <dgm:constr type="t" for="ch" forName="parentNode2"/>
                  <dgm:constr type="l" for="ch" forName="parentNode2" refType="w" fact="0.2"/>
                  <dgm:constr type="w" for="ch" forName="connSite2" refType="w" fact="0.01"/>
                  <dgm:constr type="h" for="ch" forName="connSite2" refType="h" fact="0.01"/>
                  <dgm:constr type="t" for="ch" forName="connSite2" refType="h" fact="0.99"/>
                  <dgm:constr type="l" for="ch" forName="connSite2" refType="w" fact="0.25"/>
                </dgm:constrLst>
              </dgm:if>
              <dgm:else name="Name16">
                <dgm:constrLst>
                  <dgm:constr type="h" refType="w" fact="1.06"/>
                  <dgm:constr type="w" for="ch" forName="dummyNode2" refType="w"/>
                  <dgm:constr type="h" for="ch" forName="dummyNode2" refType="h"/>
                  <dgm:constr type="t" for="ch" forName="dummyNode2"/>
                  <dgm:constr type="l" for="ch" forName="dummyNode2"/>
                  <dgm:constr type="w" for="ch" forName="childNode2" refType="w" fact="0.9"/>
                  <dgm:constr type="h" for="ch" forName="childNode2" refType="h" fact="0.7"/>
                  <dgm:constr type="t" for="ch" forName="childNode2" refType="h" fact="0.15"/>
                  <dgm:constr type="l" for="ch" forName="childNode2" refType="w" fact="0.1"/>
                  <dgm:constr type="w" for="ch" forName="childNode2tx" refType="w" fact="0.9"/>
                  <dgm:constr type="h" for="ch" forName="childNode2tx" refType="h" fact="0.55"/>
                  <dgm:constr type="t" for="ch" forName="childNode2tx" refType="h" fact="0.3"/>
                  <dgm:constr type="l" for="ch" forName="childNode2tx" refType="w" fact="0.1"/>
                  <dgm:constr type="w" for="ch" forName="parentNode2" refType="w" fact="0.8"/>
                  <dgm:constr type="h" for="ch" forName="parentNode2" refType="h" fact="0.3"/>
                  <dgm:constr type="t" for="ch" forName="parentNode2"/>
                  <dgm:constr type="l" for="ch" forName="parentNode2"/>
                  <dgm:constr type="w" for="ch" forName="connSite2" refType="w" fact="0.01"/>
                  <dgm:constr type="h" for="ch" forName="connSite2" refType="h" fact="0.01"/>
                  <dgm:constr type="t" for="ch" forName="connSite2" refType="h" fact="0.99"/>
                  <dgm:constr type="l" for="ch" forName="connSite2" refType="w" fact="0.85"/>
                </dgm:constrLst>
              </dgm:else>
            </dgm:choose>
            <dgm:ruleLst/>
            <dgm:layoutNode name="dummyNode2">
              <dgm:alg type="sp"/>
              <dgm:shape xmlns:r="http://schemas.openxmlformats.org/officeDocument/2006/relationships" type="rect" r:blip="" hideGeom="1">
                <dgm:adjLst/>
              </dgm:shape>
              <dgm:presOf/>
              <dgm:constrLst/>
              <dgm:ruleLst/>
            </dgm:layoutNode>
            <dgm:layoutNode name="childNode2" styleLbl="bgAcc1">
              <dgm:varLst>
                <dgm:bulletEnabled val="1"/>
              </dgm:varLst>
              <dgm:alg type="sp"/>
              <dgm:shape xmlns:r="http://schemas.openxmlformats.org/officeDocument/2006/relationships" type="roundRect" r:blip="">
                <dgm:adjLst>
                  <dgm:adj idx="1" val="0.1"/>
                </dgm:adjLst>
              </dgm:shape>
              <dgm:presOf axis="des" ptType="node"/>
              <dgm:constrLst/>
              <dgm:ruleLst/>
            </dgm:layoutNode>
            <dgm:layoutNode name="childNode2tx" styleLbl="bgAcc1">
              <dgm:varLst>
                <dgm:bulletEnabled val="1"/>
              </dgm:varLst>
              <dgm:alg type="tx">
                <dgm:param type="stBulletLvl" val="1"/>
              </dgm:alg>
              <dgm:shape xmlns:r="http://schemas.openxmlformats.org/officeDocument/2006/relationships" type="roundRect" r:blip="" hideGeom="1">
                <dgm:adjLst>
                  <dgm:adj idx="1" val="0.1"/>
                </dgm:adjLst>
              </dgm:shape>
              <dgm:presOf axis="des" ptType="node"/>
              <dgm:constrLst>
                <dgm:constr type="secFontSz" val="65"/>
                <dgm:constr type="primFontSz" refType="secFontSz"/>
                <dgm:constr type="tMarg" refType="secFontSz" fact="0.15"/>
                <dgm:constr type="bMarg" refType="secFontSz" fact="0.15"/>
                <dgm:constr type="lMarg" refType="secFontSz" fact="0.15"/>
                <dgm:constr type="rMarg" refType="secFontSz" fact="0.15"/>
              </dgm:constrLst>
              <dgm:ruleLst>
                <dgm:rule type="secFontSz" val="5" fact="NaN" max="NaN"/>
              </dgm:ruleLst>
            </dgm:layoutNode>
            <dgm:layoutNode name="parentNode2" styleLbl="node1">
              <dgm:varLst>
                <dgm:chMax val="0"/>
                <dgm:bulletEnabled val="1"/>
              </dgm:varLst>
              <dgm:alg type="tx"/>
              <dgm:shape xmlns:r="http://schemas.openxmlformats.org/officeDocument/2006/relationships" type="roundRect" r:blip="">
                <dgm:adjLst>
                  <dgm:adj idx="1" val="0.1"/>
                </dgm:adjLst>
              </dgm:shape>
              <dgm:presOf axis="self"/>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connSite2" moveWith="childNode2">
              <dgm:alg type="sp"/>
              <dgm:shape xmlns:r="http://schemas.openxmlformats.org/officeDocument/2006/relationships" r:blip="">
                <dgm:adjLst/>
              </dgm:shape>
              <dgm:presOf/>
              <dgm:constrLst/>
              <dgm:ruleLst/>
            </dgm:layoutNode>
          </dgm:layoutNode>
          <dgm:forEach name="Name17" axis="followSib" ptType="sibTrans" cnt="1">
            <dgm:layoutNode name="Name18">
              <dgm:alg type="conn">
                <dgm:param type="connRout" val="curve"/>
                <dgm:param type="srcNode" val="parentNode2"/>
                <dgm:param type="dstNode" val="connSite1"/>
                <dgm:param type="begPts" val="tCtr"/>
                <dgm:param type="endPts" val="tCtr"/>
              </dgm:alg>
              <dgm:shape xmlns:r="http://schemas.openxmlformats.org/officeDocument/2006/relationships" type="conn" r:blip="" zOrderOff="-2">
                <dgm:adjLst/>
              </dgm:shape>
              <dgm:presOf axis="self"/>
              <dgm:choose name="Name19">
                <dgm:if name="Name20" func="var" arg="dir" op="equ" val="norm">
                  <dgm:constrLst>
                    <dgm:constr type="h" refType="w" fact="0.35"/>
                    <dgm:constr type="wArH" refType="h"/>
                    <dgm:constr type="hArH" refType="h"/>
                    <dgm:constr type="connDist"/>
                    <dgm:constr type="diam" refType="connDist" fact="1.15"/>
                    <dgm:constr type="begPad"/>
                    <dgm:constr type="endPad"/>
                  </dgm:constrLst>
                </dgm:if>
                <dgm:else name="Name21">
                  <dgm:constrLst>
                    <dgm:constr type="h" refType="w" fact="0.35"/>
                    <dgm:constr type="wArH" refType="h"/>
                    <dgm:constr type="hArH" refType="h"/>
                    <dgm:constr type="connDist"/>
                    <dgm:constr type="diam" refType="connDist" fact="-1.15"/>
                    <dgm:constr type="begPad"/>
                    <dgm:constr type="endPad"/>
                  </dgm:constrLst>
                </dgm:else>
              </dgm:choose>
              <dgm:ruleLst/>
            </dgm:layoutNode>
          </dgm:forEach>
        </dgm:forEach>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Segoe - Miscrosoft">
      <a:majorFont>
        <a:latin typeface="Segoe UI Light"/>
        <a:ea typeface=""/>
        <a:cs typeface=""/>
      </a:majorFont>
      <a:minorFont>
        <a:latin typeface="Segoe U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2015-02-02T00:00:00</PublishDate>
  <Abstract/>
  <CompanyAddress/>
  <CompanyPhone/>
  <CompanyFax/>
  <CompanyEmail>fidea@fidea.lv</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IEEE2006OfficeOnline.xsl" StyleName="IEEE" Version="2006">
  <b:Source>
    <b:Tag>McK13</b:Tag>
    <b:SourceType>Report</b:SourceType>
    <b:Guid>{C911DC05-D33D-467A-9160-75A54ECCEDC9}</b:Guid>
    <b:LCID>lv-LV</b:LCID>
    <b:Author>
      <b:Author>
        <b:Corporate>McKinsey Global Institute</b:Corporate>
      </b:Author>
    </b:Author>
    <b:Title>Disruptive technologies: Advances that will transform life, business, and the global economy</b:Title>
    <b:Year>2013</b:Year>
    <b:Publisher>McKinsey &amp; Company</b:Publisher>
    <b:RefOrder>6</b:RefOrder>
  </b:Source>
</b:Sources>
</file>

<file path=customXml/item4.xml><?xml version="1.0" encoding="utf-8"?>
<p:properties xmlns:p="http://schemas.microsoft.com/office/2006/metadata/properties" xmlns:xsi="http://www.w3.org/2001/XMLSchema-instance" xmlns:pc="http://schemas.microsoft.com/office/infopath/2007/PartnerControls">
  <documentManagement>
    <_dlc_DocId xmlns="58a5323c-72ac-4ab4-a9cd-9c3fb0b52b19">FT4M3ZN43RRY-1720906219-74</_dlc_DocId>
    <_dlc_DocIdUrl xmlns="58a5323c-72ac-4ab4-a9cd-9c3fb0b52b19">
      <Url>https://fidea.sharepoint.com/projects/FBMTKC_ATF/_layouts/15/DocIdRedir.aspx?ID=FT4M3ZN43RRY-1720906219-74</Url>
      <Description>FT4M3ZN43RRY-1720906219-74</Description>
    </_dlc_DocIdUrl>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ct:contentTypeSchema xmlns:ct="http://schemas.microsoft.com/office/2006/metadata/contentType" xmlns:ma="http://schemas.microsoft.com/office/2006/metadata/properties/metaAttributes" ct:_="" ma:_="" ma:contentTypeName="Dokuments" ma:contentTypeID="0x01010075CAA3AF9672754CB831496AA9FCD80F" ma:contentTypeVersion="5" ma:contentTypeDescription="Izveidot jaunu dokumentu." ma:contentTypeScope="" ma:versionID="61b4f3b60160d8bc17d133e53de5e771">
  <xsd:schema xmlns:xsd="http://www.w3.org/2001/XMLSchema" xmlns:xs="http://www.w3.org/2001/XMLSchema" xmlns:p="http://schemas.microsoft.com/office/2006/metadata/properties" xmlns:ns2="58a5323c-72ac-4ab4-a9cd-9c3fb0b52b19" xmlns:ns3="ffe3cedd-100b-4e7b-9cc7-c47e88a362e4" targetNamespace="http://schemas.microsoft.com/office/2006/metadata/properties" ma:root="true" ma:fieldsID="11f7901e2a76d3fefd6402b5ab142414" ns2:_="" ns3:_="">
    <xsd:import namespace="58a5323c-72ac-4ab4-a9cd-9c3fb0b52b19"/>
    <xsd:import namespace="ffe3cedd-100b-4e7b-9cc7-c47e88a362e4"/>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a5323c-72ac-4ab4-a9cd-9c3fb0b52b19" elementFormDefault="qualified">
    <xsd:import namespace="http://schemas.microsoft.com/office/2006/documentManagement/types"/>
    <xsd:import namespace="http://schemas.microsoft.com/office/infopath/2007/PartnerControls"/>
    <xsd:element name="_dlc_DocId" ma:index="8" nillable="true" ma:displayName="Dokumenta ID vērtība" ma:description="Šim vienumam piešķirtā dokumenta ID vērtība." ma:internalName="_dlc_DocId" ma:readOnly="true">
      <xsd:simpleType>
        <xsd:restriction base="dms:Text"/>
      </xsd:simpleType>
    </xsd:element>
    <xsd:element name="_dlc_DocIdUrl" ma:index="9" nillable="true" ma:displayName="Dokumenta ID" ma:description="Pastāvīga saite uz šo dokumentu."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fe3cedd-100b-4e7b-9cc7-c47e88a362e4"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3572B8E-BBFC-4D50-B32B-708B90EDD8A3}">
  <ds:schemaRefs>
    <ds:schemaRef ds:uri="http://schemas.microsoft.com/sharepoint/v3/contenttype/forms"/>
  </ds:schemaRefs>
</ds:datastoreItem>
</file>

<file path=customXml/itemProps3.xml><?xml version="1.0" encoding="utf-8"?>
<ds:datastoreItem xmlns:ds="http://schemas.openxmlformats.org/officeDocument/2006/customXml" ds:itemID="{9F1F5298-B10D-47FE-BD79-31F964F8C787}">
  <ds:schemaRefs>
    <ds:schemaRef ds:uri="http://schemas.openxmlformats.org/officeDocument/2006/bibliography"/>
  </ds:schemaRefs>
</ds:datastoreItem>
</file>

<file path=customXml/itemProps4.xml><?xml version="1.0" encoding="utf-8"?>
<ds:datastoreItem xmlns:ds="http://schemas.openxmlformats.org/officeDocument/2006/customXml" ds:itemID="{EC9ED06A-AEAE-4241-96DA-8B750898CA04}">
  <ds:schemaRefs>
    <ds:schemaRef ds:uri="http://schemas.microsoft.com/office/2006/metadata/properties"/>
    <ds:schemaRef ds:uri="http://schemas.microsoft.com/office/infopath/2007/PartnerControls"/>
    <ds:schemaRef ds:uri="58a5323c-72ac-4ab4-a9cd-9c3fb0b52b19"/>
  </ds:schemaRefs>
</ds:datastoreItem>
</file>

<file path=customXml/itemProps5.xml><?xml version="1.0" encoding="utf-8"?>
<ds:datastoreItem xmlns:ds="http://schemas.openxmlformats.org/officeDocument/2006/customXml" ds:itemID="{DC3E0D4D-A90F-44E1-B9E3-064C6B5D5099}">
  <ds:schemaRefs>
    <ds:schemaRef ds:uri="http://schemas.microsoft.com/sharepoint/events"/>
  </ds:schemaRefs>
</ds:datastoreItem>
</file>

<file path=customXml/itemProps6.xml><?xml version="1.0" encoding="utf-8"?>
<ds:datastoreItem xmlns:ds="http://schemas.openxmlformats.org/officeDocument/2006/customXml" ds:itemID="{DD4EEE56-2A80-4501-9FF4-45747B35A3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a5323c-72ac-4ab4-a9cd-9c3fb0b52b19"/>
    <ds:schemaRef ds:uri="ffe3cedd-100b-4e7b-9cc7-c47e88a362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100</Pages>
  <Words>35449</Words>
  <Characters>202061</Characters>
  <Application>Microsoft Office Word</Application>
  <DocSecurity>0</DocSecurity>
  <Lines>1683</Lines>
  <Paragraphs>474</Paragraphs>
  <ScaleCrop>false</ScaleCrop>
  <HeadingPairs>
    <vt:vector size="2" baseType="variant">
      <vt:variant>
        <vt:lpstr>Title</vt:lpstr>
      </vt:variant>
      <vt:variant>
        <vt:i4>1</vt:i4>
      </vt:variant>
    </vt:vector>
  </HeadingPairs>
  <TitlesOfParts>
    <vt:vector size="1" baseType="lpstr">
      <vt:lpstr>Farmācijas, biomedicīnas un medicīnas tehnoloģiju un kompetences centra attīstības stratēģija</vt:lpstr>
    </vt:vector>
  </TitlesOfParts>
  <Manager>Gundars.Kulikovskis@fidea.lv</Manager>
  <Company>FIDEA SIA</Company>
  <LinksUpToDate>false</LinksUpToDate>
  <CharactersWithSpaces>237036</CharactersWithSpaces>
  <SharedDoc>false</SharedDoc>
  <HLinks>
    <vt:vector size="318" baseType="variant">
      <vt:variant>
        <vt:i4>6684714</vt:i4>
      </vt:variant>
      <vt:variant>
        <vt:i4>327</vt:i4>
      </vt:variant>
      <vt:variant>
        <vt:i4>0</vt:i4>
      </vt:variant>
      <vt:variant>
        <vt:i4>5</vt:i4>
      </vt:variant>
      <vt:variant>
        <vt:lpwstr>https://www.ema.europa.eu/en/partners-networks/healthcare-professionals/eligible-healthcare-professionals-organisations</vt:lpwstr>
      </vt:variant>
      <vt:variant>
        <vt:lpwstr/>
      </vt:variant>
      <vt:variant>
        <vt:i4>7536766</vt:i4>
      </vt:variant>
      <vt:variant>
        <vt:i4>324</vt:i4>
      </vt:variant>
      <vt:variant>
        <vt:i4>0</vt:i4>
      </vt:variant>
      <vt:variant>
        <vt:i4>5</vt:i4>
      </vt:variant>
      <vt:variant>
        <vt:lpwstr>https://eur-lex.europa.eu/legal-content/LV/TXT/?uri=CELEX%3A32021R0241</vt:lpwstr>
      </vt:variant>
      <vt:variant>
        <vt:lpwstr/>
      </vt:variant>
      <vt:variant>
        <vt:i4>1310742</vt:i4>
      </vt:variant>
      <vt:variant>
        <vt:i4>321</vt:i4>
      </vt:variant>
      <vt:variant>
        <vt:i4>0</vt:i4>
      </vt:variant>
      <vt:variant>
        <vt:i4>5</vt:i4>
      </vt:variant>
      <vt:variant>
        <vt:lpwstr>https://m.likumi.lv/ta/id/333825-latvijas-atveselosanas-un-noturibas-mehanisma-plana-51r-reformu-un-investiciju-virziena-produktivitates-paaugstinasana-caur-investiciju-apjoma-palielinasanu-pampa-511r-reformas-inovaciju-parvaldiba-un-privato-pampa-investiciju-motivacija-5112i-investicijas-atbalsta-instruments-inovaciju-klasteru-attistibai-istenosanas-noteikumi-kompetences-centru-ietvaros</vt:lpwstr>
      </vt:variant>
      <vt:variant>
        <vt:lpwstr>p12</vt:lpwstr>
      </vt:variant>
      <vt:variant>
        <vt:i4>7143520</vt:i4>
      </vt:variant>
      <vt:variant>
        <vt:i4>297</vt:i4>
      </vt:variant>
      <vt:variant>
        <vt:i4>0</vt:i4>
      </vt:variant>
      <vt:variant>
        <vt:i4>5</vt:i4>
      </vt:variant>
      <vt:variant>
        <vt:lpwstr>http://vkt.rtu.lv/</vt:lpwstr>
      </vt:variant>
      <vt:variant>
        <vt:lpwstr/>
      </vt:variant>
      <vt:variant>
        <vt:i4>2359395</vt:i4>
      </vt:variant>
      <vt:variant>
        <vt:i4>237</vt:i4>
      </vt:variant>
      <vt:variant>
        <vt:i4>0</vt:i4>
      </vt:variant>
      <vt:variant>
        <vt:i4>5</vt:i4>
      </vt:variant>
      <vt:variant>
        <vt:lpwstr>http://www.rff.lv/pakalpojumi/kontraktrazosana</vt:lpwstr>
      </vt:variant>
      <vt:variant>
        <vt:lpwstr/>
      </vt:variant>
      <vt:variant>
        <vt:i4>7929909</vt:i4>
      </vt:variant>
      <vt:variant>
        <vt:i4>234</vt:i4>
      </vt:variant>
      <vt:variant>
        <vt:i4>0</vt:i4>
      </vt:variant>
      <vt:variant>
        <vt:i4>5</vt:i4>
      </vt:variant>
      <vt:variant>
        <vt:lpwstr>http://www.grindeks.lv/lv/produkti/recepsu-zales/originalprodukti/ftorafur</vt:lpwstr>
      </vt:variant>
      <vt:variant>
        <vt:lpwstr/>
      </vt:variant>
      <vt:variant>
        <vt:i4>1769537</vt:i4>
      </vt:variant>
      <vt:variant>
        <vt:i4>231</vt:i4>
      </vt:variant>
      <vt:variant>
        <vt:i4>0</vt:i4>
      </vt:variant>
      <vt:variant>
        <vt:i4>5</vt:i4>
      </vt:variant>
      <vt:variant>
        <vt:lpwstr>http://www.grindeks.lv/lv/produkti/recepsu-zales/originalprodukti/mildronats</vt:lpwstr>
      </vt:variant>
      <vt:variant>
        <vt:lpwstr/>
      </vt:variant>
      <vt:variant>
        <vt:i4>8060967</vt:i4>
      </vt:variant>
      <vt:variant>
        <vt:i4>228</vt:i4>
      </vt:variant>
      <vt:variant>
        <vt:i4>0</vt:i4>
      </vt:variant>
      <vt:variant>
        <vt:i4>5</vt:i4>
      </vt:variant>
      <vt:variant>
        <vt:lpwstr>http://www.grindeks.lv/lv/kontakti/filiales-parstavniecibas</vt:lpwstr>
      </vt:variant>
      <vt:variant>
        <vt:lpwstr/>
      </vt:variant>
      <vt:variant>
        <vt:i4>196702</vt:i4>
      </vt:variant>
      <vt:variant>
        <vt:i4>225</vt:i4>
      </vt:variant>
      <vt:variant>
        <vt:i4>0</vt:i4>
      </vt:variant>
      <vt:variant>
        <vt:i4>5</vt:i4>
      </vt:variant>
      <vt:variant>
        <vt:lpwstr>http://grindeks.ru/ru</vt:lpwstr>
      </vt:variant>
      <vt:variant>
        <vt:lpwstr/>
      </vt:variant>
      <vt:variant>
        <vt:i4>1179708</vt:i4>
      </vt:variant>
      <vt:variant>
        <vt:i4>218</vt:i4>
      </vt:variant>
      <vt:variant>
        <vt:i4>0</vt:i4>
      </vt:variant>
      <vt:variant>
        <vt:i4>5</vt:i4>
      </vt:variant>
      <vt:variant>
        <vt:lpwstr/>
      </vt:variant>
      <vt:variant>
        <vt:lpwstr>_Toc530595063</vt:lpwstr>
      </vt:variant>
      <vt:variant>
        <vt:i4>1179708</vt:i4>
      </vt:variant>
      <vt:variant>
        <vt:i4>212</vt:i4>
      </vt:variant>
      <vt:variant>
        <vt:i4>0</vt:i4>
      </vt:variant>
      <vt:variant>
        <vt:i4>5</vt:i4>
      </vt:variant>
      <vt:variant>
        <vt:lpwstr/>
      </vt:variant>
      <vt:variant>
        <vt:lpwstr>_Toc530595062</vt:lpwstr>
      </vt:variant>
      <vt:variant>
        <vt:i4>1179708</vt:i4>
      </vt:variant>
      <vt:variant>
        <vt:i4>206</vt:i4>
      </vt:variant>
      <vt:variant>
        <vt:i4>0</vt:i4>
      </vt:variant>
      <vt:variant>
        <vt:i4>5</vt:i4>
      </vt:variant>
      <vt:variant>
        <vt:lpwstr/>
      </vt:variant>
      <vt:variant>
        <vt:lpwstr>_Toc530595061</vt:lpwstr>
      </vt:variant>
      <vt:variant>
        <vt:i4>1179708</vt:i4>
      </vt:variant>
      <vt:variant>
        <vt:i4>200</vt:i4>
      </vt:variant>
      <vt:variant>
        <vt:i4>0</vt:i4>
      </vt:variant>
      <vt:variant>
        <vt:i4>5</vt:i4>
      </vt:variant>
      <vt:variant>
        <vt:lpwstr/>
      </vt:variant>
      <vt:variant>
        <vt:lpwstr>_Toc530595060</vt:lpwstr>
      </vt:variant>
      <vt:variant>
        <vt:i4>1114172</vt:i4>
      </vt:variant>
      <vt:variant>
        <vt:i4>194</vt:i4>
      </vt:variant>
      <vt:variant>
        <vt:i4>0</vt:i4>
      </vt:variant>
      <vt:variant>
        <vt:i4>5</vt:i4>
      </vt:variant>
      <vt:variant>
        <vt:lpwstr/>
      </vt:variant>
      <vt:variant>
        <vt:lpwstr>_Toc530595059</vt:lpwstr>
      </vt:variant>
      <vt:variant>
        <vt:i4>1114172</vt:i4>
      </vt:variant>
      <vt:variant>
        <vt:i4>188</vt:i4>
      </vt:variant>
      <vt:variant>
        <vt:i4>0</vt:i4>
      </vt:variant>
      <vt:variant>
        <vt:i4>5</vt:i4>
      </vt:variant>
      <vt:variant>
        <vt:lpwstr/>
      </vt:variant>
      <vt:variant>
        <vt:lpwstr>_Toc530595058</vt:lpwstr>
      </vt:variant>
      <vt:variant>
        <vt:i4>1114172</vt:i4>
      </vt:variant>
      <vt:variant>
        <vt:i4>182</vt:i4>
      </vt:variant>
      <vt:variant>
        <vt:i4>0</vt:i4>
      </vt:variant>
      <vt:variant>
        <vt:i4>5</vt:i4>
      </vt:variant>
      <vt:variant>
        <vt:lpwstr/>
      </vt:variant>
      <vt:variant>
        <vt:lpwstr>_Toc530595057</vt:lpwstr>
      </vt:variant>
      <vt:variant>
        <vt:i4>1114172</vt:i4>
      </vt:variant>
      <vt:variant>
        <vt:i4>176</vt:i4>
      </vt:variant>
      <vt:variant>
        <vt:i4>0</vt:i4>
      </vt:variant>
      <vt:variant>
        <vt:i4>5</vt:i4>
      </vt:variant>
      <vt:variant>
        <vt:lpwstr/>
      </vt:variant>
      <vt:variant>
        <vt:lpwstr>_Toc530595056</vt:lpwstr>
      </vt:variant>
      <vt:variant>
        <vt:i4>1114172</vt:i4>
      </vt:variant>
      <vt:variant>
        <vt:i4>170</vt:i4>
      </vt:variant>
      <vt:variant>
        <vt:i4>0</vt:i4>
      </vt:variant>
      <vt:variant>
        <vt:i4>5</vt:i4>
      </vt:variant>
      <vt:variant>
        <vt:lpwstr/>
      </vt:variant>
      <vt:variant>
        <vt:lpwstr>_Toc530595055</vt:lpwstr>
      </vt:variant>
      <vt:variant>
        <vt:i4>1114172</vt:i4>
      </vt:variant>
      <vt:variant>
        <vt:i4>164</vt:i4>
      </vt:variant>
      <vt:variant>
        <vt:i4>0</vt:i4>
      </vt:variant>
      <vt:variant>
        <vt:i4>5</vt:i4>
      </vt:variant>
      <vt:variant>
        <vt:lpwstr/>
      </vt:variant>
      <vt:variant>
        <vt:lpwstr>_Toc530595054</vt:lpwstr>
      </vt:variant>
      <vt:variant>
        <vt:i4>1114172</vt:i4>
      </vt:variant>
      <vt:variant>
        <vt:i4>158</vt:i4>
      </vt:variant>
      <vt:variant>
        <vt:i4>0</vt:i4>
      </vt:variant>
      <vt:variant>
        <vt:i4>5</vt:i4>
      </vt:variant>
      <vt:variant>
        <vt:lpwstr/>
      </vt:variant>
      <vt:variant>
        <vt:lpwstr>_Toc530595053</vt:lpwstr>
      </vt:variant>
      <vt:variant>
        <vt:i4>1114172</vt:i4>
      </vt:variant>
      <vt:variant>
        <vt:i4>152</vt:i4>
      </vt:variant>
      <vt:variant>
        <vt:i4>0</vt:i4>
      </vt:variant>
      <vt:variant>
        <vt:i4>5</vt:i4>
      </vt:variant>
      <vt:variant>
        <vt:lpwstr/>
      </vt:variant>
      <vt:variant>
        <vt:lpwstr>_Toc530595052</vt:lpwstr>
      </vt:variant>
      <vt:variant>
        <vt:i4>1114172</vt:i4>
      </vt:variant>
      <vt:variant>
        <vt:i4>146</vt:i4>
      </vt:variant>
      <vt:variant>
        <vt:i4>0</vt:i4>
      </vt:variant>
      <vt:variant>
        <vt:i4>5</vt:i4>
      </vt:variant>
      <vt:variant>
        <vt:lpwstr/>
      </vt:variant>
      <vt:variant>
        <vt:lpwstr>_Toc530595051</vt:lpwstr>
      </vt:variant>
      <vt:variant>
        <vt:i4>1114172</vt:i4>
      </vt:variant>
      <vt:variant>
        <vt:i4>140</vt:i4>
      </vt:variant>
      <vt:variant>
        <vt:i4>0</vt:i4>
      </vt:variant>
      <vt:variant>
        <vt:i4>5</vt:i4>
      </vt:variant>
      <vt:variant>
        <vt:lpwstr/>
      </vt:variant>
      <vt:variant>
        <vt:lpwstr>_Toc530595050</vt:lpwstr>
      </vt:variant>
      <vt:variant>
        <vt:i4>1048636</vt:i4>
      </vt:variant>
      <vt:variant>
        <vt:i4>134</vt:i4>
      </vt:variant>
      <vt:variant>
        <vt:i4>0</vt:i4>
      </vt:variant>
      <vt:variant>
        <vt:i4>5</vt:i4>
      </vt:variant>
      <vt:variant>
        <vt:lpwstr/>
      </vt:variant>
      <vt:variant>
        <vt:lpwstr>_Toc530595049</vt:lpwstr>
      </vt:variant>
      <vt:variant>
        <vt:i4>1048636</vt:i4>
      </vt:variant>
      <vt:variant>
        <vt:i4>128</vt:i4>
      </vt:variant>
      <vt:variant>
        <vt:i4>0</vt:i4>
      </vt:variant>
      <vt:variant>
        <vt:i4>5</vt:i4>
      </vt:variant>
      <vt:variant>
        <vt:lpwstr/>
      </vt:variant>
      <vt:variant>
        <vt:lpwstr>_Toc530595048</vt:lpwstr>
      </vt:variant>
      <vt:variant>
        <vt:i4>1048636</vt:i4>
      </vt:variant>
      <vt:variant>
        <vt:i4>122</vt:i4>
      </vt:variant>
      <vt:variant>
        <vt:i4>0</vt:i4>
      </vt:variant>
      <vt:variant>
        <vt:i4>5</vt:i4>
      </vt:variant>
      <vt:variant>
        <vt:lpwstr/>
      </vt:variant>
      <vt:variant>
        <vt:lpwstr>_Toc530595047</vt:lpwstr>
      </vt:variant>
      <vt:variant>
        <vt:i4>1048636</vt:i4>
      </vt:variant>
      <vt:variant>
        <vt:i4>116</vt:i4>
      </vt:variant>
      <vt:variant>
        <vt:i4>0</vt:i4>
      </vt:variant>
      <vt:variant>
        <vt:i4>5</vt:i4>
      </vt:variant>
      <vt:variant>
        <vt:lpwstr/>
      </vt:variant>
      <vt:variant>
        <vt:lpwstr>_Toc530595046</vt:lpwstr>
      </vt:variant>
      <vt:variant>
        <vt:i4>1048636</vt:i4>
      </vt:variant>
      <vt:variant>
        <vt:i4>110</vt:i4>
      </vt:variant>
      <vt:variant>
        <vt:i4>0</vt:i4>
      </vt:variant>
      <vt:variant>
        <vt:i4>5</vt:i4>
      </vt:variant>
      <vt:variant>
        <vt:lpwstr/>
      </vt:variant>
      <vt:variant>
        <vt:lpwstr>_Toc530595045</vt:lpwstr>
      </vt:variant>
      <vt:variant>
        <vt:i4>1048636</vt:i4>
      </vt:variant>
      <vt:variant>
        <vt:i4>104</vt:i4>
      </vt:variant>
      <vt:variant>
        <vt:i4>0</vt:i4>
      </vt:variant>
      <vt:variant>
        <vt:i4>5</vt:i4>
      </vt:variant>
      <vt:variant>
        <vt:lpwstr/>
      </vt:variant>
      <vt:variant>
        <vt:lpwstr>_Toc530595044</vt:lpwstr>
      </vt:variant>
      <vt:variant>
        <vt:i4>1048636</vt:i4>
      </vt:variant>
      <vt:variant>
        <vt:i4>98</vt:i4>
      </vt:variant>
      <vt:variant>
        <vt:i4>0</vt:i4>
      </vt:variant>
      <vt:variant>
        <vt:i4>5</vt:i4>
      </vt:variant>
      <vt:variant>
        <vt:lpwstr/>
      </vt:variant>
      <vt:variant>
        <vt:lpwstr>_Toc530595043</vt:lpwstr>
      </vt:variant>
      <vt:variant>
        <vt:i4>1048636</vt:i4>
      </vt:variant>
      <vt:variant>
        <vt:i4>92</vt:i4>
      </vt:variant>
      <vt:variant>
        <vt:i4>0</vt:i4>
      </vt:variant>
      <vt:variant>
        <vt:i4>5</vt:i4>
      </vt:variant>
      <vt:variant>
        <vt:lpwstr/>
      </vt:variant>
      <vt:variant>
        <vt:lpwstr>_Toc530595042</vt:lpwstr>
      </vt:variant>
      <vt:variant>
        <vt:i4>1048636</vt:i4>
      </vt:variant>
      <vt:variant>
        <vt:i4>86</vt:i4>
      </vt:variant>
      <vt:variant>
        <vt:i4>0</vt:i4>
      </vt:variant>
      <vt:variant>
        <vt:i4>5</vt:i4>
      </vt:variant>
      <vt:variant>
        <vt:lpwstr/>
      </vt:variant>
      <vt:variant>
        <vt:lpwstr>_Toc530595041</vt:lpwstr>
      </vt:variant>
      <vt:variant>
        <vt:i4>1048636</vt:i4>
      </vt:variant>
      <vt:variant>
        <vt:i4>80</vt:i4>
      </vt:variant>
      <vt:variant>
        <vt:i4>0</vt:i4>
      </vt:variant>
      <vt:variant>
        <vt:i4>5</vt:i4>
      </vt:variant>
      <vt:variant>
        <vt:lpwstr/>
      </vt:variant>
      <vt:variant>
        <vt:lpwstr>_Toc530595040</vt:lpwstr>
      </vt:variant>
      <vt:variant>
        <vt:i4>1507388</vt:i4>
      </vt:variant>
      <vt:variant>
        <vt:i4>74</vt:i4>
      </vt:variant>
      <vt:variant>
        <vt:i4>0</vt:i4>
      </vt:variant>
      <vt:variant>
        <vt:i4>5</vt:i4>
      </vt:variant>
      <vt:variant>
        <vt:lpwstr/>
      </vt:variant>
      <vt:variant>
        <vt:lpwstr>_Toc530595039</vt:lpwstr>
      </vt:variant>
      <vt:variant>
        <vt:i4>1507388</vt:i4>
      </vt:variant>
      <vt:variant>
        <vt:i4>68</vt:i4>
      </vt:variant>
      <vt:variant>
        <vt:i4>0</vt:i4>
      </vt:variant>
      <vt:variant>
        <vt:i4>5</vt:i4>
      </vt:variant>
      <vt:variant>
        <vt:lpwstr/>
      </vt:variant>
      <vt:variant>
        <vt:lpwstr>_Toc530595038</vt:lpwstr>
      </vt:variant>
      <vt:variant>
        <vt:i4>1507388</vt:i4>
      </vt:variant>
      <vt:variant>
        <vt:i4>62</vt:i4>
      </vt:variant>
      <vt:variant>
        <vt:i4>0</vt:i4>
      </vt:variant>
      <vt:variant>
        <vt:i4>5</vt:i4>
      </vt:variant>
      <vt:variant>
        <vt:lpwstr/>
      </vt:variant>
      <vt:variant>
        <vt:lpwstr>_Toc530595037</vt:lpwstr>
      </vt:variant>
      <vt:variant>
        <vt:i4>1507388</vt:i4>
      </vt:variant>
      <vt:variant>
        <vt:i4>56</vt:i4>
      </vt:variant>
      <vt:variant>
        <vt:i4>0</vt:i4>
      </vt:variant>
      <vt:variant>
        <vt:i4>5</vt:i4>
      </vt:variant>
      <vt:variant>
        <vt:lpwstr/>
      </vt:variant>
      <vt:variant>
        <vt:lpwstr>_Toc530595036</vt:lpwstr>
      </vt:variant>
      <vt:variant>
        <vt:i4>1507388</vt:i4>
      </vt:variant>
      <vt:variant>
        <vt:i4>50</vt:i4>
      </vt:variant>
      <vt:variant>
        <vt:i4>0</vt:i4>
      </vt:variant>
      <vt:variant>
        <vt:i4>5</vt:i4>
      </vt:variant>
      <vt:variant>
        <vt:lpwstr/>
      </vt:variant>
      <vt:variant>
        <vt:lpwstr>_Toc530595035</vt:lpwstr>
      </vt:variant>
      <vt:variant>
        <vt:i4>1507388</vt:i4>
      </vt:variant>
      <vt:variant>
        <vt:i4>44</vt:i4>
      </vt:variant>
      <vt:variant>
        <vt:i4>0</vt:i4>
      </vt:variant>
      <vt:variant>
        <vt:i4>5</vt:i4>
      </vt:variant>
      <vt:variant>
        <vt:lpwstr/>
      </vt:variant>
      <vt:variant>
        <vt:lpwstr>_Toc530595034</vt:lpwstr>
      </vt:variant>
      <vt:variant>
        <vt:i4>1507388</vt:i4>
      </vt:variant>
      <vt:variant>
        <vt:i4>38</vt:i4>
      </vt:variant>
      <vt:variant>
        <vt:i4>0</vt:i4>
      </vt:variant>
      <vt:variant>
        <vt:i4>5</vt:i4>
      </vt:variant>
      <vt:variant>
        <vt:lpwstr/>
      </vt:variant>
      <vt:variant>
        <vt:lpwstr>_Toc530595033</vt:lpwstr>
      </vt:variant>
      <vt:variant>
        <vt:i4>1507388</vt:i4>
      </vt:variant>
      <vt:variant>
        <vt:i4>32</vt:i4>
      </vt:variant>
      <vt:variant>
        <vt:i4>0</vt:i4>
      </vt:variant>
      <vt:variant>
        <vt:i4>5</vt:i4>
      </vt:variant>
      <vt:variant>
        <vt:lpwstr/>
      </vt:variant>
      <vt:variant>
        <vt:lpwstr>_Toc530595032</vt:lpwstr>
      </vt:variant>
      <vt:variant>
        <vt:i4>1507388</vt:i4>
      </vt:variant>
      <vt:variant>
        <vt:i4>26</vt:i4>
      </vt:variant>
      <vt:variant>
        <vt:i4>0</vt:i4>
      </vt:variant>
      <vt:variant>
        <vt:i4>5</vt:i4>
      </vt:variant>
      <vt:variant>
        <vt:lpwstr/>
      </vt:variant>
      <vt:variant>
        <vt:lpwstr>_Toc530595031</vt:lpwstr>
      </vt:variant>
      <vt:variant>
        <vt:i4>1507388</vt:i4>
      </vt:variant>
      <vt:variant>
        <vt:i4>20</vt:i4>
      </vt:variant>
      <vt:variant>
        <vt:i4>0</vt:i4>
      </vt:variant>
      <vt:variant>
        <vt:i4>5</vt:i4>
      </vt:variant>
      <vt:variant>
        <vt:lpwstr/>
      </vt:variant>
      <vt:variant>
        <vt:lpwstr>_Toc530595030</vt:lpwstr>
      </vt:variant>
      <vt:variant>
        <vt:i4>1441852</vt:i4>
      </vt:variant>
      <vt:variant>
        <vt:i4>14</vt:i4>
      </vt:variant>
      <vt:variant>
        <vt:i4>0</vt:i4>
      </vt:variant>
      <vt:variant>
        <vt:i4>5</vt:i4>
      </vt:variant>
      <vt:variant>
        <vt:lpwstr/>
      </vt:variant>
      <vt:variant>
        <vt:lpwstr>_Toc530595029</vt:lpwstr>
      </vt:variant>
      <vt:variant>
        <vt:i4>1441852</vt:i4>
      </vt:variant>
      <vt:variant>
        <vt:i4>8</vt:i4>
      </vt:variant>
      <vt:variant>
        <vt:i4>0</vt:i4>
      </vt:variant>
      <vt:variant>
        <vt:i4>5</vt:i4>
      </vt:variant>
      <vt:variant>
        <vt:lpwstr/>
      </vt:variant>
      <vt:variant>
        <vt:lpwstr>_Toc530595028</vt:lpwstr>
      </vt:variant>
      <vt:variant>
        <vt:i4>1441852</vt:i4>
      </vt:variant>
      <vt:variant>
        <vt:i4>2</vt:i4>
      </vt:variant>
      <vt:variant>
        <vt:i4>0</vt:i4>
      </vt:variant>
      <vt:variant>
        <vt:i4>5</vt:i4>
      </vt:variant>
      <vt:variant>
        <vt:lpwstr/>
      </vt:variant>
      <vt:variant>
        <vt:lpwstr>_Toc530595027</vt:lpwstr>
      </vt:variant>
      <vt:variant>
        <vt:i4>2818080</vt:i4>
      </vt:variant>
      <vt:variant>
        <vt:i4>18</vt:i4>
      </vt:variant>
      <vt:variant>
        <vt:i4>0</vt:i4>
      </vt:variant>
      <vt:variant>
        <vt:i4>5</vt:i4>
      </vt:variant>
      <vt:variant>
        <vt:lpwstr>https://www.alliedmarketresearch.com/color-cosmetics-market</vt:lpwstr>
      </vt:variant>
      <vt:variant>
        <vt:lpwstr/>
      </vt:variant>
      <vt:variant>
        <vt:i4>3145785</vt:i4>
      </vt:variant>
      <vt:variant>
        <vt:i4>15</vt:i4>
      </vt:variant>
      <vt:variant>
        <vt:i4>0</vt:i4>
      </vt:variant>
      <vt:variant>
        <vt:i4>5</vt:i4>
      </vt:variant>
      <vt:variant>
        <vt:lpwstr>https://formulabotanica.com/global-organic-beauty-market-22bn-2024/</vt:lpwstr>
      </vt:variant>
      <vt:variant>
        <vt:lpwstr/>
      </vt:variant>
      <vt:variant>
        <vt:i4>6750271</vt:i4>
      </vt:variant>
      <vt:variant>
        <vt:i4>12</vt:i4>
      </vt:variant>
      <vt:variant>
        <vt:i4>0</vt:i4>
      </vt:variant>
      <vt:variant>
        <vt:i4>5</vt:i4>
      </vt:variant>
      <vt:variant>
        <vt:lpwstr>https://www.statista.com/statistics/259217/global-make-up-market-size/</vt:lpwstr>
      </vt:variant>
      <vt:variant>
        <vt:lpwstr/>
      </vt:variant>
      <vt:variant>
        <vt:i4>4456463</vt:i4>
      </vt:variant>
      <vt:variant>
        <vt:i4>9</vt:i4>
      </vt:variant>
      <vt:variant>
        <vt:i4>0</vt:i4>
      </vt:variant>
      <vt:variant>
        <vt:i4>5</vt:i4>
      </vt:variant>
      <vt:variant>
        <vt:lpwstr>https://www.grandviewresearch.com/press-release/global-scar-treatment-market</vt:lpwstr>
      </vt:variant>
      <vt:variant>
        <vt:lpwstr/>
      </vt:variant>
      <vt:variant>
        <vt:i4>1769482</vt:i4>
      </vt:variant>
      <vt:variant>
        <vt:i4>6</vt:i4>
      </vt:variant>
      <vt:variant>
        <vt:i4>0</vt:i4>
      </vt:variant>
      <vt:variant>
        <vt:i4>5</vt:i4>
      </vt:variant>
      <vt:variant>
        <vt:lpwstr>https://www.prnewswire.com/news-releases/cellulite-treatment-market-will-hit-at-a-cagr-of-77-from-2018-to-2028-680252273.html</vt:lpwstr>
      </vt:variant>
      <vt:variant>
        <vt:lpwstr/>
      </vt:variant>
      <vt:variant>
        <vt:i4>3145785</vt:i4>
      </vt:variant>
      <vt:variant>
        <vt:i4>3</vt:i4>
      </vt:variant>
      <vt:variant>
        <vt:i4>0</vt:i4>
      </vt:variant>
      <vt:variant>
        <vt:i4>5</vt:i4>
      </vt:variant>
      <vt:variant>
        <vt:lpwstr>https://formulabotanica.com/global-organic-beauty-market-22bn-2024/</vt:lpwstr>
      </vt:variant>
      <vt:variant>
        <vt:lpwstr/>
      </vt:variant>
      <vt:variant>
        <vt:i4>5767193</vt:i4>
      </vt:variant>
      <vt:variant>
        <vt:i4>0</vt:i4>
      </vt:variant>
      <vt:variant>
        <vt:i4>0</vt:i4>
      </vt:variant>
      <vt:variant>
        <vt:i4>5</vt:i4>
      </vt:variant>
      <vt:variant>
        <vt:lpwstr>https://www.liaa.gov.lv/en/trade/industries/chemical-pharmaceutical-and-biotechnological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Farmācijas, biomedicīnas un medicīnas tehnoloģiju un kompetences centra attīstības stratēģija</dc:title>
  <dc:subject/>
  <dc:creator>Gundars Kuļikovskis</dc:creator>
  <cp:keywords>Stratēģija;LAĶĪFA;Kīmijas nozare;RIS3</cp:keywords>
  <dc:description>Stratēģijas dokumenta apspriedes versija</dc:description>
  <cp:lastModifiedBy>Raivis Mezzile</cp:lastModifiedBy>
  <cp:revision>4</cp:revision>
  <cp:lastPrinted>2018-11-20T09:40:00Z</cp:lastPrinted>
  <dcterms:created xsi:type="dcterms:W3CDTF">2022-11-11T13:16:00Z</dcterms:created>
  <dcterms:modified xsi:type="dcterms:W3CDTF">2023-01-18T10:49:00Z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0x01010075CAA3AF9672754CB831496AA9FCD80F</vt:lpwstr>
  </property>
  <property fmtid="{D5CDD505-2E9C-101B-9397-08002B2CF9AE}" pid="3" name="_dlc_DocIdItemGuid">
    <vt:lpwstr>7f700c28-dcbd-461e-8fcf-0d0cf7478275</vt:lpwstr>
  </property>
  <property fmtid="{D5CDD505-2E9C-101B-9397-08002B2CF9AE}" pid="4" name="ZOTERO_PREF_2">
    <vt:lpwstr>References" value="true"/&gt;&lt;pref name="automaticJournalAbbreviations" value="true"/&gt;&lt;pref name="noteType" value="1"/&gt;&lt;/prefs&gt;&lt;/data&gt;</vt:lpwstr>
  </property>
  <property fmtid="{D5CDD505-2E9C-101B-9397-08002B2CF9AE}" pid="5" name="ZOTERO_PREF_1">
    <vt:lpwstr>&lt;data data-version="3" zotero-version="4.0.25.2"&gt;&lt;session id="7hLXkjWs"/&gt;&lt;style id="http://www.zotero.org/styles/chicago-note-bibliography" hasBibliography="1" bibliographyStyleHasBeenSet="1"/&gt;&lt;prefs&gt;&lt;pref name="fieldType" value="Field"/&gt;&lt;pref name="store</vt:lpwstr>
  </property>
  <property fmtid="{D5CDD505-2E9C-101B-9397-08002B2CF9AE}" pid="6" name="MediaServiceImageTags">
    <vt:lpwstr/>
  </property>
</Properties>
</file>